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38" w:rsidRPr="00085FA6" w:rsidRDefault="00EA0538" w:rsidP="00EA0538">
      <w:pPr>
        <w:pStyle w:val="Heading2"/>
        <w:rPr>
          <w:rFonts w:ascii="Times New Roman" w:hAnsi="Times New Roman" w:cs="Times New Roman"/>
          <w:lang w:val="en-GB"/>
        </w:rPr>
      </w:pPr>
      <w:bookmarkStart w:id="0" w:name="_Toc386631713"/>
      <w:r w:rsidRPr="00085FA6">
        <w:rPr>
          <w:rFonts w:ascii="Times New Roman" w:hAnsi="Times New Roman" w:cs="Times New Roman"/>
          <w:lang w:val="en-GB"/>
        </w:rPr>
        <w:t>3.1. End-user demand</w:t>
      </w:r>
      <w:bookmarkEnd w:id="0"/>
    </w:p>
    <w:p w:rsidR="00EA0538" w:rsidRPr="00085FA6" w:rsidRDefault="00EA0538" w:rsidP="00EA0538">
      <w:pPr>
        <w:pStyle w:val="Heading3"/>
        <w:rPr>
          <w:rFonts w:ascii="Times New Roman" w:hAnsi="Times New Roman" w:cs="Times New Roman"/>
          <w:lang w:val="en-GB"/>
        </w:rPr>
      </w:pPr>
      <w:bookmarkStart w:id="1" w:name="_Toc386631714"/>
      <w:r w:rsidRPr="00085FA6">
        <w:rPr>
          <w:rFonts w:ascii="Times New Roman" w:hAnsi="Times New Roman" w:cs="Times New Roman"/>
          <w:lang w:val="en-GB"/>
        </w:rPr>
        <w:t>3.1.1 Model countries</w:t>
      </w:r>
      <w:bookmarkEnd w:id="1"/>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Originally LIBEMOD included only the western-European countries; Austria, Belgium incl. Luxembourg, Denmark, Finland, France, Germany, Greece, Ireland, Italy, Netherlands, Norway, Portugal, Spain, Sweden, Switzerland and the United Kingdom.</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In this version of LIBEMOD there are 30 model countries; EU 27 (Austria, Belgium, Bulgaria, Cyprus, Czech Republic, Denmark, Estonia, Finland, France, Germany, Great Britain, Greece, Hungary, Ireland, Italy, Latvia, Lithuania, Luxembourg, Malta, the Netherlands, Poland, Portugal, Romania, Slovak Republic, Slovenia, Spain, Sweden) and Iceland, Norway and Switzerland. In addition there is supply and demand for some goods in Algeria, Belarus, Russia, Ukraine, YU (consists of the countries of former Yugoslavia) and ROW (an aggregate of the remaining countries of the world). </w:t>
      </w:r>
      <w:r>
        <w:rPr>
          <w:rFonts w:ascii="Times New Roman" w:hAnsi="Times New Roman" w:cs="Times New Roman"/>
          <w:lang w:val="en-GB"/>
        </w:rPr>
        <w:t xml:space="preserve">In an extension of the model we have included Russia as a model country. For details see chapter 3.7. </w:t>
      </w:r>
    </w:p>
    <w:p w:rsidR="00EA0538" w:rsidRPr="00D65E46" w:rsidRDefault="00EA0538" w:rsidP="00EA0538">
      <w:pPr>
        <w:spacing w:after="0"/>
        <w:jc w:val="both"/>
        <w:rPr>
          <w:rFonts w:ascii="Times New Roman" w:hAnsi="Times New Roman" w:cs="Times New Roman"/>
          <w:b/>
          <w:sz w:val="20"/>
          <w:szCs w:val="20"/>
          <w:lang w:val="en-GB"/>
        </w:rPr>
      </w:pPr>
      <w:r w:rsidRPr="00D65E46">
        <w:rPr>
          <w:rFonts w:ascii="Times New Roman" w:hAnsi="Times New Roman" w:cs="Times New Roman"/>
          <w:b/>
          <w:sz w:val="20"/>
          <w:szCs w:val="20"/>
          <w:lang w:val="en-GB"/>
        </w:rPr>
        <w:t>Figure 1 Map of model countries and exogenous countries</w:t>
      </w:r>
    </w:p>
    <w:p w:rsidR="00EA0538" w:rsidRPr="00D65E46" w:rsidRDefault="00EA0538" w:rsidP="00EA0538">
      <w:pPr>
        <w:jc w:val="both"/>
        <w:rPr>
          <w:rFonts w:ascii="Times New Roman" w:hAnsi="Times New Roman" w:cs="Times New Roman"/>
          <w:lang w:val="en-GB"/>
        </w:rPr>
      </w:pPr>
      <w:r>
        <w:rPr>
          <w:rFonts w:ascii="Times New Roman" w:hAnsi="Times New Roman" w:cs="Times New Roman"/>
          <w:noProof/>
        </w:rPr>
        <w:drawing>
          <wp:inline distT="0" distB="0" distL="0" distR="0" wp14:anchorId="51111B84" wp14:editId="18596807">
            <wp:extent cx="6645910" cy="55384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europe_names3.png"/>
                    <pic:cNvPicPr/>
                  </pic:nvPicPr>
                  <pic:blipFill>
                    <a:blip r:embed="rId9">
                      <a:extLst>
                        <a:ext uri="{28A0092B-C50C-407E-A947-70E740481C1C}">
                          <a14:useLocalDpi xmlns:a14="http://schemas.microsoft.com/office/drawing/2010/main" val="0"/>
                        </a:ext>
                      </a:extLst>
                    </a:blip>
                    <a:stretch>
                      <a:fillRect/>
                    </a:stretch>
                  </pic:blipFill>
                  <pic:spPr>
                    <a:xfrm>
                      <a:off x="0" y="0"/>
                      <a:ext cx="6645910" cy="5538470"/>
                    </a:xfrm>
                    <a:prstGeom prst="rect">
                      <a:avLst/>
                    </a:prstGeom>
                  </pic:spPr>
                </pic:pic>
              </a:graphicData>
            </a:graphic>
          </wp:inline>
        </w:drawing>
      </w:r>
      <w:r w:rsidRPr="00426681">
        <w:rPr>
          <w:lang w:val="en-US"/>
        </w:rPr>
        <w:t xml:space="preserve"> </w:t>
      </w:r>
      <w:r w:rsidRPr="00426681">
        <w:rPr>
          <w:rFonts w:ascii="Times New Roman" w:hAnsi="Times New Roman" w:cs="Times New Roman"/>
          <w:i/>
          <w:sz w:val="20"/>
          <w:szCs w:val="20"/>
          <w:lang w:val="en-GB"/>
        </w:rPr>
        <w:t>All model countries are marked dark grey and exogenous countries in lighter grey. All other countries are included in row (rest of the world).</w:t>
      </w:r>
    </w:p>
    <w:p w:rsidR="00EA0538" w:rsidRPr="00EA0538" w:rsidRDefault="00EA0538" w:rsidP="00EA0538">
      <w:pPr>
        <w:pStyle w:val="Heading3"/>
        <w:rPr>
          <w:rStyle w:val="Heading3Char"/>
          <w:rFonts w:ascii="Times New Roman" w:hAnsi="Times New Roman" w:cs="Times New Roman"/>
          <w:b/>
          <w:lang w:val="en-US"/>
        </w:rPr>
      </w:pPr>
      <w:r w:rsidRPr="00085FA6">
        <w:rPr>
          <w:lang w:val="en-GB"/>
        </w:rPr>
        <w:br/>
      </w:r>
      <w:bookmarkStart w:id="2" w:name="_Toc386631715"/>
      <w:r w:rsidRPr="00EA0538">
        <w:rPr>
          <w:rStyle w:val="Heading3Char"/>
          <w:rFonts w:ascii="Times New Roman" w:hAnsi="Times New Roman" w:cs="Times New Roman"/>
          <w:b/>
          <w:lang w:val="en-US"/>
        </w:rPr>
        <w:t>3.1.2 Period length</w:t>
      </w:r>
      <w:bookmarkEnd w:id="2"/>
    </w:p>
    <w:p w:rsidR="00EA0538" w:rsidRPr="0017598C" w:rsidRDefault="00EA0538" w:rsidP="00EA0538">
      <w:pPr>
        <w:rPr>
          <w:rFonts w:ascii="Times New Roman" w:eastAsiaTheme="majorEastAsia" w:hAnsi="Times New Roman" w:cs="Times New Roman"/>
          <w:b/>
          <w:bCs/>
          <w:color w:val="4F81BD" w:themeColor="accent1"/>
          <w:lang w:val="en-US"/>
        </w:rPr>
      </w:pPr>
      <w:r w:rsidRPr="00085FA6">
        <w:rPr>
          <w:rFonts w:ascii="Times New Roman" w:hAnsi="Times New Roman" w:cs="Times New Roman"/>
          <w:lang w:val="en-GB"/>
        </w:rPr>
        <w:t xml:space="preserve">Fossil fuels (coal, oil, </w:t>
      </w:r>
      <w:r>
        <w:rPr>
          <w:rFonts w:ascii="Times New Roman" w:hAnsi="Times New Roman" w:cs="Times New Roman"/>
          <w:lang w:val="en-GB"/>
        </w:rPr>
        <w:t xml:space="preserve">natural </w:t>
      </w:r>
      <w:r w:rsidRPr="00085FA6">
        <w:rPr>
          <w:rFonts w:ascii="Times New Roman" w:hAnsi="Times New Roman" w:cs="Times New Roman"/>
          <w:lang w:val="en-GB"/>
        </w:rPr>
        <w:t>gas) and biomass are traded in annual markets, whereas electricity is traded in two seasonal markets (summer and winter). Each season consists of two periods (day and night).</w:t>
      </w:r>
      <w:r w:rsidRPr="00085FA6">
        <w:rPr>
          <w:rFonts w:ascii="Times New Roman" w:hAnsi="Times New Roman" w:cs="Times New Roman"/>
          <w:i/>
          <w:lang w:val="en-GB"/>
        </w:rPr>
        <w:t xml:space="preserve"> </w:t>
      </w:r>
      <w:r w:rsidRPr="00085FA6">
        <w:rPr>
          <w:rFonts w:ascii="Times New Roman" w:hAnsi="Times New Roman" w:cs="Times New Roman"/>
          <w:lang w:val="en-GB"/>
        </w:rPr>
        <w:t xml:space="preserve">The winter season is from </w:t>
      </w:r>
      <w:r w:rsidRPr="00085FA6">
        <w:rPr>
          <w:rFonts w:ascii="Times New Roman" w:hAnsi="Times New Roman" w:cs="Times New Roman"/>
          <w:lang w:val="en-GB"/>
        </w:rPr>
        <w:lastRenderedPageBreak/>
        <w:t>1</w:t>
      </w:r>
      <w:r w:rsidRPr="00085FA6">
        <w:rPr>
          <w:rFonts w:ascii="Times New Roman" w:hAnsi="Times New Roman" w:cs="Times New Roman"/>
          <w:vertAlign w:val="superscript"/>
          <w:lang w:val="en-GB"/>
        </w:rPr>
        <w:t>st</w:t>
      </w:r>
      <w:r w:rsidRPr="00085FA6">
        <w:rPr>
          <w:rFonts w:ascii="Times New Roman" w:hAnsi="Times New Roman" w:cs="Times New Roman"/>
          <w:lang w:val="en-GB"/>
        </w:rPr>
        <w:t xml:space="preserve"> October to 31</w:t>
      </w:r>
      <w:r w:rsidRPr="00085FA6">
        <w:rPr>
          <w:rFonts w:ascii="Times New Roman" w:hAnsi="Times New Roman" w:cs="Times New Roman"/>
          <w:vertAlign w:val="superscript"/>
          <w:lang w:val="en-GB"/>
        </w:rPr>
        <w:t>st</w:t>
      </w:r>
      <w:r w:rsidRPr="00085FA6">
        <w:rPr>
          <w:rFonts w:ascii="Times New Roman" w:hAnsi="Times New Roman" w:cs="Times New Roman"/>
          <w:lang w:val="en-GB"/>
        </w:rPr>
        <w:t xml:space="preserve"> March, whereas the summer season is from 1</w:t>
      </w:r>
      <w:r w:rsidRPr="00085FA6">
        <w:rPr>
          <w:rFonts w:ascii="Times New Roman" w:hAnsi="Times New Roman" w:cs="Times New Roman"/>
          <w:vertAlign w:val="superscript"/>
          <w:lang w:val="en-GB"/>
        </w:rPr>
        <w:t>st</w:t>
      </w:r>
      <w:r w:rsidRPr="00085FA6">
        <w:rPr>
          <w:rFonts w:ascii="Times New Roman" w:hAnsi="Times New Roman" w:cs="Times New Roman"/>
          <w:lang w:val="en-GB"/>
        </w:rPr>
        <w:t xml:space="preserve"> April to 30</w:t>
      </w:r>
      <w:r w:rsidRPr="00085FA6">
        <w:rPr>
          <w:rFonts w:ascii="Times New Roman" w:hAnsi="Times New Roman" w:cs="Times New Roman"/>
          <w:vertAlign w:val="superscript"/>
          <w:lang w:val="en-GB"/>
        </w:rPr>
        <w:t>th</w:t>
      </w:r>
      <w:r w:rsidRPr="00085FA6">
        <w:rPr>
          <w:rFonts w:ascii="Times New Roman" w:hAnsi="Times New Roman" w:cs="Times New Roman"/>
          <w:lang w:val="en-GB"/>
        </w:rPr>
        <w:t xml:space="preserve"> September. Day is defined as from 08.00 am to 08.00 pm, and night from 08.00 pm to 08.00 am.</w:t>
      </w:r>
    </w:p>
    <w:p w:rsidR="00EA0538" w:rsidRPr="00085FA6" w:rsidRDefault="00EA0538" w:rsidP="00EA0538">
      <w:pPr>
        <w:pStyle w:val="Heading3"/>
        <w:rPr>
          <w:rFonts w:ascii="Times New Roman" w:hAnsi="Times New Roman" w:cs="Times New Roman"/>
          <w:lang w:val="en-GB"/>
        </w:rPr>
      </w:pPr>
      <w:r w:rsidRPr="00085FA6">
        <w:rPr>
          <w:rFonts w:ascii="Times New Roman" w:hAnsi="Times New Roman" w:cs="Times New Roman"/>
          <w:lang w:val="en-GB"/>
        </w:rPr>
        <w:br/>
      </w:r>
      <w:bookmarkStart w:id="3" w:name="_Toc386631716"/>
      <w:r w:rsidRPr="00085FA6">
        <w:rPr>
          <w:rFonts w:ascii="Times New Roman" w:hAnsi="Times New Roman" w:cs="Times New Roman"/>
          <w:lang w:val="en-GB"/>
        </w:rPr>
        <w:t>3.1.3 Quantities</w:t>
      </w:r>
      <w:bookmarkEnd w:id="3"/>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Demand in each model country is divided into four end-user groups or sectors, denoted “household”, “industry”, “services” and “transport”. The base year demand for all fuels is taken from IEA Extended World Energy Balances and is measured in million tons of oil equivalents (</w:t>
      </w:r>
      <w:proofErr w:type="spellStart"/>
      <w:r w:rsidRPr="00085FA6">
        <w:rPr>
          <w:rFonts w:ascii="Times New Roman" w:hAnsi="Times New Roman" w:cs="Times New Roman"/>
          <w:lang w:val="en-GB"/>
        </w:rPr>
        <w:t>Mtoe</w:t>
      </w:r>
      <w:proofErr w:type="spellEnd"/>
      <w:r w:rsidRPr="00085FA6">
        <w:rPr>
          <w:rFonts w:ascii="Times New Roman" w:hAnsi="Times New Roman" w:cs="Times New Roman"/>
          <w:lang w:val="en-GB"/>
        </w:rPr>
        <w:t xml:space="preserve">). </w:t>
      </w:r>
      <w:r>
        <w:rPr>
          <w:rFonts w:ascii="Times New Roman" w:hAnsi="Times New Roman" w:cs="Times New Roman"/>
          <w:lang w:val="en-GB"/>
        </w:rPr>
        <w:t xml:space="preserve">The energy demand is broken down into a detailed list of end users. </w:t>
      </w:r>
      <w:r w:rsidRPr="00085FA6">
        <w:rPr>
          <w:rFonts w:ascii="Times New Roman" w:hAnsi="Times New Roman" w:cs="Times New Roman"/>
          <w:lang w:val="en-GB"/>
        </w:rPr>
        <w:t>For the household, service and transport sectors the IEA</w:t>
      </w:r>
      <w:r>
        <w:rPr>
          <w:rFonts w:ascii="Times New Roman" w:hAnsi="Times New Roman" w:cs="Times New Roman"/>
          <w:lang w:val="en-GB"/>
        </w:rPr>
        <w:t xml:space="preserve"> categories are used directly</w:t>
      </w:r>
      <w:r w:rsidRPr="00085FA6">
        <w:rPr>
          <w:rFonts w:ascii="Times New Roman" w:hAnsi="Times New Roman" w:cs="Times New Roman"/>
          <w:lang w:val="en-GB"/>
        </w:rPr>
        <w:t xml:space="preserve">. This implies that the service sector includes both commercial and public services as this is not separated in the data set. </w:t>
      </w:r>
      <w:r>
        <w:rPr>
          <w:rFonts w:ascii="Times New Roman" w:hAnsi="Times New Roman" w:cs="Times New Roman"/>
          <w:lang w:val="en-GB"/>
        </w:rPr>
        <w:t>Agriculture</w:t>
      </w:r>
      <w:r w:rsidRPr="00085FA6">
        <w:rPr>
          <w:rFonts w:ascii="Times New Roman" w:hAnsi="Times New Roman" w:cs="Times New Roman"/>
          <w:lang w:val="en-GB"/>
        </w:rPr>
        <w:t xml:space="preserve">, forestry, fishing and other non-specified consumption </w:t>
      </w:r>
      <w:r>
        <w:rPr>
          <w:rFonts w:ascii="Times New Roman" w:hAnsi="Times New Roman" w:cs="Times New Roman"/>
          <w:lang w:val="en-GB"/>
        </w:rPr>
        <w:t xml:space="preserve">has been included </w:t>
      </w:r>
      <w:r w:rsidRPr="00085FA6">
        <w:rPr>
          <w:rFonts w:ascii="Times New Roman" w:hAnsi="Times New Roman" w:cs="Times New Roman"/>
          <w:lang w:val="en-GB"/>
        </w:rPr>
        <w:t xml:space="preserve">in the industry sector, along with non-energy use from the same categories.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demand for fossil fuels in electricity generation is an aggregate of the demand from electricity producing plants, combined heat and power plants (CHP) and heat plants. A total of seven categories from the IEA statistics are included (Main activity producer electricity plants, </w:t>
      </w:r>
      <w:proofErr w:type="spellStart"/>
      <w:r w:rsidRPr="00085FA6">
        <w:rPr>
          <w:rFonts w:ascii="Times New Roman" w:hAnsi="Times New Roman" w:cs="Times New Roman"/>
          <w:lang w:val="en-GB"/>
        </w:rPr>
        <w:t>Autoproducer</w:t>
      </w:r>
      <w:proofErr w:type="spellEnd"/>
      <w:r w:rsidRPr="00085FA6">
        <w:rPr>
          <w:rFonts w:ascii="Times New Roman" w:hAnsi="Times New Roman" w:cs="Times New Roman"/>
          <w:lang w:val="en-GB"/>
        </w:rPr>
        <w:t xml:space="preserve"> electricity plants, Main activity producer CHP plants, </w:t>
      </w:r>
      <w:proofErr w:type="spellStart"/>
      <w:r w:rsidRPr="00085FA6">
        <w:rPr>
          <w:rFonts w:ascii="Times New Roman" w:hAnsi="Times New Roman" w:cs="Times New Roman"/>
          <w:lang w:val="en-GB"/>
        </w:rPr>
        <w:t>Autoproducer</w:t>
      </w:r>
      <w:proofErr w:type="spellEnd"/>
      <w:r w:rsidRPr="00085FA6">
        <w:rPr>
          <w:rFonts w:ascii="Times New Roman" w:hAnsi="Times New Roman" w:cs="Times New Roman"/>
          <w:lang w:val="en-GB"/>
        </w:rPr>
        <w:t xml:space="preserve"> CHP plants, Main activity producer heat plants, </w:t>
      </w:r>
      <w:proofErr w:type="spellStart"/>
      <w:r w:rsidRPr="00085FA6">
        <w:rPr>
          <w:rFonts w:ascii="Times New Roman" w:hAnsi="Times New Roman" w:cs="Times New Roman"/>
          <w:lang w:val="en-GB"/>
        </w:rPr>
        <w:t>Autoproducer</w:t>
      </w:r>
      <w:proofErr w:type="spellEnd"/>
      <w:r w:rsidRPr="00085FA6">
        <w:rPr>
          <w:rFonts w:ascii="Times New Roman" w:hAnsi="Times New Roman" w:cs="Times New Roman"/>
          <w:lang w:val="en-GB"/>
        </w:rPr>
        <w:t xml:space="preserve"> heat plants and Chemical heat for electricity production).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Base year demand for electricity is taken from the same source, and is measured in terawatt-hours (</w:t>
      </w:r>
      <w:proofErr w:type="spellStart"/>
      <w:r w:rsidRPr="00085FA6">
        <w:rPr>
          <w:rFonts w:ascii="Times New Roman" w:hAnsi="Times New Roman" w:cs="Times New Roman"/>
          <w:lang w:val="en-GB"/>
        </w:rPr>
        <w:t>TWh</w:t>
      </w:r>
      <w:proofErr w:type="spellEnd"/>
      <w:r w:rsidRPr="00085FA6">
        <w:rPr>
          <w:rFonts w:ascii="Times New Roman" w:hAnsi="Times New Roman" w:cs="Times New Roman"/>
          <w:lang w:val="en-GB"/>
        </w:rPr>
        <w:t xml:space="preserve">). </w:t>
      </w:r>
      <w:r>
        <w:rPr>
          <w:rFonts w:ascii="Times New Roman" w:hAnsi="Times New Roman" w:cs="Times New Roman"/>
          <w:lang w:val="en-GB"/>
        </w:rPr>
        <w:t>T</w:t>
      </w:r>
      <w:r w:rsidRPr="00085FA6">
        <w:rPr>
          <w:rFonts w:ascii="Times New Roman" w:hAnsi="Times New Roman" w:cs="Times New Roman"/>
          <w:lang w:val="en-GB"/>
        </w:rPr>
        <w:t>he same classifications for the sectors as outlined above</w:t>
      </w:r>
      <w:r>
        <w:rPr>
          <w:rFonts w:ascii="Times New Roman" w:hAnsi="Times New Roman" w:cs="Times New Roman"/>
          <w:lang w:val="en-GB"/>
        </w:rPr>
        <w:t xml:space="preserve"> have been used</w:t>
      </w:r>
      <w:r w:rsidRPr="00085FA6">
        <w:rPr>
          <w:rFonts w:ascii="Times New Roman" w:hAnsi="Times New Roman" w:cs="Times New Roman"/>
          <w:lang w:val="en-GB"/>
        </w:rPr>
        <w:t xml:space="preserve">. </w:t>
      </w:r>
      <w:r>
        <w:rPr>
          <w:rFonts w:ascii="Times New Roman" w:hAnsi="Times New Roman" w:cs="Times New Roman"/>
          <w:lang w:val="en-GB"/>
        </w:rPr>
        <w:t>Heat demand</w:t>
      </w:r>
      <w:r w:rsidRPr="00085FA6">
        <w:rPr>
          <w:rFonts w:ascii="Times New Roman" w:hAnsi="Times New Roman" w:cs="Times New Roman"/>
          <w:lang w:val="en-GB"/>
        </w:rPr>
        <w:t xml:space="preserve"> is added to the electricity demand in “household”, “industry” and “services” after converting the heat usage to electricity equivalents (see chapter 3.2 for more details).</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To calibrate the demand for electricity in each period, actual country data from ENTSO-E on hourly load</w:t>
      </w:r>
      <w:r>
        <w:rPr>
          <w:rFonts w:ascii="Times New Roman" w:hAnsi="Times New Roman" w:cs="Times New Roman"/>
          <w:lang w:val="en-GB"/>
        </w:rPr>
        <w:t xml:space="preserve"> has been used</w:t>
      </w:r>
      <w:r w:rsidRPr="00085FA6">
        <w:rPr>
          <w:rFonts w:ascii="Times New Roman" w:hAnsi="Times New Roman" w:cs="Times New Roman"/>
          <w:lang w:val="en-GB"/>
        </w:rPr>
        <w:t>. ENTSO-E has data for 2009 for most of Europe, except the Nordic countries, Latvia, Lithuania, Cyprus and Malta. For the Nordic countries, Latvia and Lithuania 2010 data</w:t>
      </w:r>
      <w:r>
        <w:rPr>
          <w:rFonts w:ascii="Times New Roman" w:hAnsi="Times New Roman" w:cs="Times New Roman"/>
          <w:lang w:val="en-GB"/>
        </w:rPr>
        <w:t xml:space="preserve"> has been used as 2009 data is not available. </w:t>
      </w:r>
      <w:r w:rsidRPr="00085FA6">
        <w:rPr>
          <w:rFonts w:ascii="Times New Roman" w:hAnsi="Times New Roman" w:cs="Times New Roman"/>
          <w:lang w:val="en-GB"/>
        </w:rPr>
        <w:t>ENTSO-E does not have any data for Cy</w:t>
      </w:r>
      <w:r>
        <w:rPr>
          <w:rFonts w:ascii="Times New Roman" w:hAnsi="Times New Roman" w:cs="Times New Roman"/>
          <w:lang w:val="en-GB"/>
        </w:rPr>
        <w:t xml:space="preserve">prus and Malta so the demand profile of Greece has been used.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To differentiate the demand patterns between the different </w:t>
      </w:r>
      <w:proofErr w:type="gramStart"/>
      <w:r>
        <w:rPr>
          <w:rFonts w:ascii="Times New Roman" w:hAnsi="Times New Roman" w:cs="Times New Roman"/>
          <w:lang w:val="en-GB"/>
        </w:rPr>
        <w:t>end-user</w:t>
      </w:r>
      <w:proofErr w:type="gramEnd"/>
      <w:r>
        <w:rPr>
          <w:rFonts w:ascii="Times New Roman" w:hAnsi="Times New Roman" w:cs="Times New Roman"/>
          <w:lang w:val="en-GB"/>
        </w:rPr>
        <w:t xml:space="preserve"> sectors </w:t>
      </w:r>
      <w:r w:rsidRPr="00085FA6">
        <w:rPr>
          <w:rFonts w:ascii="Times New Roman" w:hAnsi="Times New Roman" w:cs="Times New Roman"/>
          <w:lang w:val="en-GB"/>
        </w:rPr>
        <w:t xml:space="preserve">a British source </w:t>
      </w:r>
      <w:r>
        <w:rPr>
          <w:rFonts w:ascii="Times New Roman" w:hAnsi="Times New Roman" w:cs="Times New Roman"/>
          <w:lang w:val="en-GB"/>
        </w:rPr>
        <w:t xml:space="preserve">was used </w:t>
      </w:r>
      <w:r w:rsidRPr="00085FA6">
        <w:rPr>
          <w:rFonts w:ascii="Times New Roman" w:hAnsi="Times New Roman" w:cs="Times New Roman"/>
          <w:lang w:val="en-GB"/>
        </w:rPr>
        <w:t xml:space="preserve">(Sustainability First 2012). The publication has demand profiles illustrating variations in electricity use by time-of-day, weekday and weekend for each month for households, commercial and industry. Commercial consists of demand from offices, communication and transport, hotel/catering, other, retail, sport and leisure and warehouses, public administration (education, government and health) and agriculture. This source gives an indication of how the demand varies between sectors and has allowed us to make some assumptions on the demand profiles. These demand profiles are used for all model countries.  </w:t>
      </w:r>
    </w:p>
    <w:p w:rsidR="00EA0538" w:rsidRPr="00085FA6" w:rsidRDefault="00EA0538" w:rsidP="00EA0538">
      <w:pPr>
        <w:jc w:val="both"/>
        <w:rPr>
          <w:rFonts w:ascii="Times New Roman" w:hAnsi="Times New Roman" w:cs="Times New Roman"/>
          <w:lang w:val="en-GB"/>
        </w:rPr>
      </w:pPr>
    </w:p>
    <w:p w:rsidR="00EA0538" w:rsidRPr="00085FA6" w:rsidRDefault="00EA0538" w:rsidP="00EA0538">
      <w:pPr>
        <w:pStyle w:val="Heading3"/>
        <w:rPr>
          <w:rFonts w:ascii="Times New Roman" w:hAnsi="Times New Roman" w:cs="Times New Roman"/>
          <w:lang w:val="en-GB"/>
        </w:rPr>
      </w:pPr>
      <w:bookmarkStart w:id="4" w:name="_Toc386631717"/>
      <w:r w:rsidRPr="00085FA6">
        <w:rPr>
          <w:rFonts w:ascii="Times New Roman" w:hAnsi="Times New Roman" w:cs="Times New Roman"/>
          <w:lang w:val="en-GB"/>
        </w:rPr>
        <w:t>3.1.</w:t>
      </w:r>
      <w:r>
        <w:rPr>
          <w:rFonts w:ascii="Times New Roman" w:hAnsi="Times New Roman" w:cs="Times New Roman"/>
          <w:lang w:val="en-GB"/>
        </w:rPr>
        <w:t>4</w:t>
      </w:r>
      <w:r w:rsidRPr="00085FA6">
        <w:rPr>
          <w:rFonts w:ascii="Times New Roman" w:hAnsi="Times New Roman" w:cs="Times New Roman"/>
          <w:lang w:val="en-GB"/>
        </w:rPr>
        <w:t xml:space="preserve"> Prices and Taxes</w:t>
      </w:r>
      <w:bookmarkEnd w:id="4"/>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Base year prices and taxes are mainly taken from IEA Energy Prices and Taxes (2011a and 2011b). The database provides a set of prices and taxes in national currency per energy unit, and prices in national currency per toe. All prices are converted to €/toe, apart from the electricity price that is expressed in €/</w:t>
      </w:r>
      <w:proofErr w:type="spellStart"/>
      <w:r w:rsidRPr="00085FA6">
        <w:rPr>
          <w:rFonts w:ascii="Times New Roman" w:hAnsi="Times New Roman" w:cs="Times New Roman"/>
          <w:lang w:val="en-GB"/>
        </w:rPr>
        <w:t>MWh</w:t>
      </w:r>
      <w:proofErr w:type="spellEnd"/>
      <w:r w:rsidRPr="00085FA6">
        <w:rPr>
          <w:rFonts w:ascii="Times New Roman" w:hAnsi="Times New Roman" w:cs="Times New Roman"/>
          <w:lang w:val="en-GB"/>
        </w:rPr>
        <w:t xml:space="preserve">. All exchange rates used are from the IEA statistics (Energy Prices and Taxes) and all prices are given in 2009 prices. Heat is converted to electricity equivalents.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For many countries t</w:t>
      </w:r>
      <w:r w:rsidRPr="00085FA6">
        <w:rPr>
          <w:rFonts w:ascii="Times New Roman" w:hAnsi="Times New Roman" w:cs="Times New Roman"/>
          <w:lang w:val="en-GB"/>
        </w:rPr>
        <w:t xml:space="preserve">here are some missing values for 2009 in the statistics, especially </w:t>
      </w:r>
      <w:r>
        <w:rPr>
          <w:rFonts w:ascii="Times New Roman" w:hAnsi="Times New Roman" w:cs="Times New Roman"/>
          <w:lang w:val="en-GB"/>
        </w:rPr>
        <w:t>among</w:t>
      </w:r>
      <w:r w:rsidRPr="00085FA6">
        <w:rPr>
          <w:rFonts w:ascii="Times New Roman" w:hAnsi="Times New Roman" w:cs="Times New Roman"/>
          <w:lang w:val="en-GB"/>
        </w:rPr>
        <w:t xml:space="preserve"> the non-OECD countries. As far as possible this has been </w:t>
      </w:r>
      <w:r>
        <w:rPr>
          <w:rFonts w:ascii="Times New Roman" w:hAnsi="Times New Roman" w:cs="Times New Roman"/>
          <w:lang w:val="en-GB"/>
        </w:rPr>
        <w:t>solved</w:t>
      </w:r>
      <w:r w:rsidRPr="00085FA6">
        <w:rPr>
          <w:rFonts w:ascii="Times New Roman" w:hAnsi="Times New Roman" w:cs="Times New Roman"/>
          <w:lang w:val="en-GB"/>
        </w:rPr>
        <w:t xml:space="preserve"> </w:t>
      </w:r>
      <w:r>
        <w:rPr>
          <w:rFonts w:ascii="Times New Roman" w:hAnsi="Times New Roman" w:cs="Times New Roman"/>
          <w:lang w:val="en-GB"/>
        </w:rPr>
        <w:t xml:space="preserve">by </w:t>
      </w:r>
      <w:r w:rsidRPr="00085FA6">
        <w:rPr>
          <w:rFonts w:ascii="Times New Roman" w:hAnsi="Times New Roman" w:cs="Times New Roman"/>
          <w:lang w:val="en-GB"/>
        </w:rPr>
        <w:t xml:space="preserve">using other </w:t>
      </w:r>
      <w:r>
        <w:rPr>
          <w:rFonts w:ascii="Times New Roman" w:hAnsi="Times New Roman" w:cs="Times New Roman"/>
          <w:lang w:val="en-GB"/>
        </w:rPr>
        <w:t xml:space="preserve">data </w:t>
      </w:r>
      <w:r w:rsidRPr="00085FA6">
        <w:rPr>
          <w:rFonts w:ascii="Times New Roman" w:hAnsi="Times New Roman" w:cs="Times New Roman"/>
          <w:lang w:val="en-GB"/>
        </w:rPr>
        <w:t>sources</w:t>
      </w:r>
      <w:r>
        <w:rPr>
          <w:rFonts w:ascii="Times New Roman" w:hAnsi="Times New Roman" w:cs="Times New Roman"/>
          <w:lang w:val="en-GB"/>
        </w:rPr>
        <w:t xml:space="preserve">, and where this was not possible by making own assumptions.  </w:t>
      </w:r>
      <w:r w:rsidRPr="00085FA6">
        <w:rPr>
          <w:rFonts w:ascii="Times New Roman" w:hAnsi="Times New Roman" w:cs="Times New Roman"/>
          <w:lang w:val="en-GB"/>
        </w:rPr>
        <w:t xml:space="preserve">Generally, if a country has a set of prices there is also information about excise taxes and VAT. In cases </w:t>
      </w:r>
      <w:r>
        <w:rPr>
          <w:rFonts w:ascii="Times New Roman" w:hAnsi="Times New Roman" w:cs="Times New Roman"/>
          <w:lang w:val="en-GB"/>
        </w:rPr>
        <w:t xml:space="preserve">where the IEA only has prices for some of the </w:t>
      </w:r>
      <w:r w:rsidRPr="00085FA6">
        <w:rPr>
          <w:rFonts w:ascii="Times New Roman" w:hAnsi="Times New Roman" w:cs="Times New Roman"/>
          <w:lang w:val="en-GB"/>
        </w:rPr>
        <w:t xml:space="preserve">sectors in a country, the available price </w:t>
      </w:r>
      <w:r>
        <w:rPr>
          <w:rFonts w:ascii="Times New Roman" w:hAnsi="Times New Roman" w:cs="Times New Roman"/>
          <w:lang w:val="en-GB"/>
        </w:rPr>
        <w:t xml:space="preserve">has generally been used </w:t>
      </w:r>
      <w:r w:rsidRPr="00085FA6">
        <w:rPr>
          <w:rFonts w:ascii="Times New Roman" w:hAnsi="Times New Roman" w:cs="Times New Roman"/>
          <w:lang w:val="en-GB"/>
        </w:rPr>
        <w:t>for the other sectors as well, i.e. if a country has a price of natural gas to industry, but not to electricity producers, the industry price</w:t>
      </w:r>
      <w:r>
        <w:rPr>
          <w:rFonts w:ascii="Times New Roman" w:hAnsi="Times New Roman" w:cs="Times New Roman"/>
          <w:lang w:val="en-GB"/>
        </w:rPr>
        <w:t xml:space="preserve"> has been used for both sectors</w:t>
      </w:r>
      <w:r w:rsidRPr="00085FA6">
        <w:rPr>
          <w:rFonts w:ascii="Times New Roman" w:hAnsi="Times New Roman" w:cs="Times New Roman"/>
          <w:lang w:val="en-GB"/>
        </w:rPr>
        <w:t xml:space="preserve">. If an import price for the </w:t>
      </w:r>
      <w:r>
        <w:rPr>
          <w:rFonts w:ascii="Times New Roman" w:hAnsi="Times New Roman" w:cs="Times New Roman"/>
          <w:lang w:val="en-GB"/>
        </w:rPr>
        <w:t>base</w:t>
      </w:r>
      <w:r w:rsidRPr="00085FA6">
        <w:rPr>
          <w:rFonts w:ascii="Times New Roman" w:hAnsi="Times New Roman" w:cs="Times New Roman"/>
          <w:lang w:val="en-GB"/>
        </w:rPr>
        <w:t xml:space="preserve"> year </w:t>
      </w:r>
      <w:r>
        <w:rPr>
          <w:rFonts w:ascii="Times New Roman" w:hAnsi="Times New Roman" w:cs="Times New Roman"/>
          <w:lang w:val="en-GB"/>
        </w:rPr>
        <w:t xml:space="preserve">is available </w:t>
      </w:r>
      <w:r w:rsidRPr="00085FA6">
        <w:rPr>
          <w:rFonts w:ascii="Times New Roman" w:hAnsi="Times New Roman" w:cs="Times New Roman"/>
          <w:lang w:val="en-GB"/>
        </w:rPr>
        <w:t xml:space="preserve">this has been used, along with an estimate for distribution costs, to create the price before tax. If none of this information has been available </w:t>
      </w:r>
      <w:r>
        <w:rPr>
          <w:rFonts w:ascii="Times New Roman" w:hAnsi="Times New Roman" w:cs="Times New Roman"/>
          <w:lang w:val="en-GB"/>
        </w:rPr>
        <w:t xml:space="preserve">an assessment of </w:t>
      </w:r>
      <w:r w:rsidRPr="00085FA6">
        <w:rPr>
          <w:rFonts w:ascii="Times New Roman" w:hAnsi="Times New Roman" w:cs="Times New Roman"/>
          <w:lang w:val="en-GB"/>
        </w:rPr>
        <w:t xml:space="preserve">prices in previous or following years </w:t>
      </w:r>
      <w:r>
        <w:rPr>
          <w:rFonts w:ascii="Times New Roman" w:hAnsi="Times New Roman" w:cs="Times New Roman"/>
          <w:lang w:val="en-GB"/>
        </w:rPr>
        <w:t xml:space="preserve">in the IEA statistics has been made </w:t>
      </w:r>
      <w:r w:rsidRPr="00085FA6">
        <w:rPr>
          <w:rFonts w:ascii="Times New Roman" w:hAnsi="Times New Roman" w:cs="Times New Roman"/>
          <w:lang w:val="en-GB"/>
        </w:rPr>
        <w:t xml:space="preserve">to give an indication of the price level. In some cases it has been necessary to look to the prices in neighbouring countries to complete the </w:t>
      </w:r>
      <w:r w:rsidRPr="00085FA6">
        <w:rPr>
          <w:rFonts w:ascii="Times New Roman" w:hAnsi="Times New Roman" w:cs="Times New Roman"/>
          <w:lang w:val="en-GB"/>
        </w:rPr>
        <w:lastRenderedPageBreak/>
        <w:t>dataset.</w:t>
      </w:r>
      <w:r w:rsidRPr="00085FA6">
        <w:rPr>
          <w:rStyle w:val="FootnoteReference"/>
          <w:rFonts w:ascii="Times New Roman" w:hAnsi="Times New Roman" w:cs="Times New Roman"/>
          <w:lang w:val="en-GB"/>
        </w:rPr>
        <w:footnoteReference w:id="1"/>
      </w:r>
      <w:r w:rsidRPr="00085FA6">
        <w:rPr>
          <w:rFonts w:ascii="Times New Roman" w:hAnsi="Times New Roman" w:cs="Times New Roman"/>
          <w:lang w:val="en-GB"/>
        </w:rPr>
        <w:t xml:space="preserve"> Where no information has been available about tax levels, </w:t>
      </w:r>
      <w:r>
        <w:rPr>
          <w:rFonts w:ascii="Times New Roman" w:hAnsi="Times New Roman" w:cs="Times New Roman"/>
          <w:lang w:val="en-GB"/>
        </w:rPr>
        <w:t xml:space="preserve">it is </w:t>
      </w:r>
      <w:r w:rsidRPr="00085FA6">
        <w:rPr>
          <w:rFonts w:ascii="Times New Roman" w:hAnsi="Times New Roman" w:cs="Times New Roman"/>
          <w:lang w:val="en-GB"/>
        </w:rPr>
        <w:t xml:space="preserve">generally assumed that only the household sector is applicable to VAT and excise taxes have been set to zero.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For industry the price of </w:t>
      </w:r>
      <w:r w:rsidRPr="00160B41">
        <w:rPr>
          <w:rFonts w:ascii="Times New Roman" w:hAnsi="Times New Roman" w:cs="Times New Roman"/>
          <w:i/>
          <w:lang w:val="en-GB"/>
        </w:rPr>
        <w:t>oil</w:t>
      </w:r>
      <w:r w:rsidRPr="00085FA6">
        <w:rPr>
          <w:rFonts w:ascii="Times New Roman" w:hAnsi="Times New Roman" w:cs="Times New Roman"/>
          <w:lang w:val="en-GB"/>
        </w:rPr>
        <w:t xml:space="preserve"> is a weighted average of the prices of light and heavy fuel oil, </w:t>
      </w:r>
      <w:r>
        <w:rPr>
          <w:rFonts w:ascii="Times New Roman" w:hAnsi="Times New Roman" w:cs="Times New Roman"/>
          <w:lang w:val="en-GB"/>
        </w:rPr>
        <w:t xml:space="preserve">whilst for </w:t>
      </w:r>
      <w:r w:rsidRPr="00085FA6">
        <w:rPr>
          <w:rFonts w:ascii="Times New Roman" w:hAnsi="Times New Roman" w:cs="Times New Roman"/>
          <w:lang w:val="en-GB"/>
        </w:rPr>
        <w:t>households and services the price of light fuel oil</w:t>
      </w:r>
      <w:r>
        <w:rPr>
          <w:rFonts w:ascii="Times New Roman" w:hAnsi="Times New Roman" w:cs="Times New Roman"/>
          <w:lang w:val="en-GB"/>
        </w:rPr>
        <w:t xml:space="preserve"> has been used</w:t>
      </w:r>
      <w:r w:rsidRPr="00085FA6">
        <w:rPr>
          <w:rFonts w:ascii="Times New Roman" w:hAnsi="Times New Roman" w:cs="Times New Roman"/>
          <w:lang w:val="en-GB"/>
        </w:rPr>
        <w:t xml:space="preserve">. </w:t>
      </w:r>
      <w:r>
        <w:rPr>
          <w:rFonts w:ascii="Times New Roman" w:hAnsi="Times New Roman" w:cs="Times New Roman"/>
          <w:lang w:val="en-GB"/>
        </w:rPr>
        <w:t>For</w:t>
      </w:r>
      <w:r w:rsidRPr="00085FA6">
        <w:rPr>
          <w:rFonts w:ascii="Times New Roman" w:hAnsi="Times New Roman" w:cs="Times New Roman"/>
          <w:lang w:val="en-GB"/>
        </w:rPr>
        <w:t xml:space="preserve"> </w:t>
      </w:r>
      <w:r>
        <w:rPr>
          <w:rFonts w:ascii="Times New Roman" w:hAnsi="Times New Roman" w:cs="Times New Roman"/>
          <w:lang w:val="en-GB"/>
        </w:rPr>
        <w:t xml:space="preserve">the </w:t>
      </w:r>
      <w:r w:rsidRPr="00085FA6">
        <w:rPr>
          <w:rFonts w:ascii="Times New Roman" w:hAnsi="Times New Roman" w:cs="Times New Roman"/>
          <w:lang w:val="en-GB"/>
        </w:rPr>
        <w:t xml:space="preserve">transport </w:t>
      </w:r>
      <w:r>
        <w:rPr>
          <w:rFonts w:ascii="Times New Roman" w:hAnsi="Times New Roman" w:cs="Times New Roman"/>
          <w:lang w:val="en-GB"/>
        </w:rPr>
        <w:t>sector the</w:t>
      </w:r>
      <w:r w:rsidRPr="00085FA6">
        <w:rPr>
          <w:rFonts w:ascii="Times New Roman" w:hAnsi="Times New Roman" w:cs="Times New Roman"/>
          <w:lang w:val="en-GB"/>
        </w:rPr>
        <w:t xml:space="preserve"> w</w:t>
      </w:r>
      <w:r>
        <w:rPr>
          <w:rFonts w:ascii="Times New Roman" w:hAnsi="Times New Roman" w:cs="Times New Roman"/>
          <w:lang w:val="en-GB"/>
        </w:rPr>
        <w:t>eighted average of the prices of</w:t>
      </w:r>
      <w:r w:rsidRPr="00085FA6">
        <w:rPr>
          <w:rFonts w:ascii="Times New Roman" w:hAnsi="Times New Roman" w:cs="Times New Roman"/>
          <w:lang w:val="en-GB"/>
        </w:rPr>
        <w:t xml:space="preserve"> gasoline and diesel (“</w:t>
      </w:r>
      <w:proofErr w:type="spellStart"/>
      <w:r w:rsidRPr="00085FA6">
        <w:rPr>
          <w:rFonts w:ascii="Times New Roman" w:hAnsi="Times New Roman" w:cs="Times New Roman"/>
          <w:lang w:val="en-GB"/>
        </w:rPr>
        <w:t>Automative</w:t>
      </w:r>
      <w:proofErr w:type="spellEnd"/>
      <w:r w:rsidRPr="00085FA6">
        <w:rPr>
          <w:rFonts w:ascii="Times New Roman" w:hAnsi="Times New Roman" w:cs="Times New Roman"/>
          <w:lang w:val="en-GB"/>
        </w:rPr>
        <w:t xml:space="preserve"> Diesel for Commercial Use” and “Premium Unleaded (95 RON) Gasoline”)</w:t>
      </w:r>
      <w:r>
        <w:rPr>
          <w:rFonts w:ascii="Times New Roman" w:hAnsi="Times New Roman" w:cs="Times New Roman"/>
          <w:lang w:val="en-GB"/>
        </w:rPr>
        <w:t xml:space="preserve"> has been used</w:t>
      </w:r>
      <w:r w:rsidRPr="00085FA6">
        <w:rPr>
          <w:rFonts w:ascii="Times New Roman" w:hAnsi="Times New Roman" w:cs="Times New Roman"/>
          <w:lang w:val="en-GB"/>
        </w:rPr>
        <w:t xml:space="preserve">, using the quantities from IEA Extended World Energy Balances as weights. There are generally few end-user prices for </w:t>
      </w:r>
      <w:r w:rsidRPr="00160B41">
        <w:rPr>
          <w:rFonts w:ascii="Times New Roman" w:hAnsi="Times New Roman" w:cs="Times New Roman"/>
          <w:i/>
          <w:lang w:val="en-GB"/>
        </w:rPr>
        <w:t>steam coal</w:t>
      </w:r>
      <w:r w:rsidRPr="00085FA6">
        <w:rPr>
          <w:rFonts w:ascii="Times New Roman" w:hAnsi="Times New Roman" w:cs="Times New Roman"/>
          <w:lang w:val="en-GB"/>
        </w:rPr>
        <w:t xml:space="preserve"> and </w:t>
      </w:r>
      <w:r w:rsidRPr="00160B41">
        <w:rPr>
          <w:rFonts w:ascii="Times New Roman" w:hAnsi="Times New Roman" w:cs="Times New Roman"/>
          <w:i/>
          <w:lang w:val="en-GB"/>
        </w:rPr>
        <w:t>coking coal</w:t>
      </w:r>
      <w:r w:rsidRPr="00085FA6">
        <w:rPr>
          <w:rFonts w:ascii="Times New Roman" w:hAnsi="Times New Roman" w:cs="Times New Roman"/>
          <w:lang w:val="en-GB"/>
        </w:rPr>
        <w:t xml:space="preserve"> in the database, and very few countries have coal prices for all end-user groups. To get a full set of coal prices </w:t>
      </w:r>
      <w:r>
        <w:rPr>
          <w:rFonts w:ascii="Times New Roman" w:hAnsi="Times New Roman" w:cs="Times New Roman"/>
          <w:lang w:val="en-GB"/>
        </w:rPr>
        <w:t>additional</w:t>
      </w:r>
      <w:r w:rsidRPr="00085FA6">
        <w:rPr>
          <w:rFonts w:ascii="Times New Roman" w:hAnsi="Times New Roman" w:cs="Times New Roman"/>
          <w:lang w:val="en-GB"/>
        </w:rPr>
        <w:t xml:space="preserve"> sources </w:t>
      </w:r>
      <w:r>
        <w:rPr>
          <w:rFonts w:ascii="Times New Roman" w:hAnsi="Times New Roman" w:cs="Times New Roman"/>
          <w:lang w:val="en-GB"/>
        </w:rPr>
        <w:t xml:space="preserve">were used and own assumptions made. </w:t>
      </w:r>
      <w:r w:rsidRPr="00085FA6">
        <w:rPr>
          <w:rFonts w:ascii="Times New Roman" w:hAnsi="Times New Roman" w:cs="Times New Roman"/>
          <w:lang w:val="en-GB"/>
        </w:rPr>
        <w:t>IEA’s Energy Prices and Taxes also has import prices for steam coal and coking coal f</w:t>
      </w:r>
      <w:r>
        <w:rPr>
          <w:rFonts w:ascii="Times New Roman" w:hAnsi="Times New Roman" w:cs="Times New Roman"/>
          <w:lang w:val="en-GB"/>
        </w:rPr>
        <w:t xml:space="preserve">or some of the model countries, which was used as the </w:t>
      </w:r>
      <w:r w:rsidRPr="00085FA6">
        <w:rPr>
          <w:rFonts w:ascii="Times New Roman" w:hAnsi="Times New Roman" w:cs="Times New Roman"/>
          <w:lang w:val="en-GB"/>
        </w:rPr>
        <w:t>price of coal delivered to the country’s consumption node.</w:t>
      </w:r>
      <w:r w:rsidRPr="00085FA6">
        <w:rPr>
          <w:rStyle w:val="FootnoteReference"/>
          <w:rFonts w:ascii="Times New Roman" w:hAnsi="Times New Roman" w:cs="Times New Roman"/>
          <w:lang w:val="en-GB"/>
        </w:rPr>
        <w:footnoteReference w:id="2"/>
      </w:r>
      <w:r w:rsidRPr="00085FA6">
        <w:rPr>
          <w:rFonts w:ascii="Times New Roman" w:hAnsi="Times New Roman" w:cs="Times New Roman"/>
          <w:lang w:val="en-GB"/>
        </w:rPr>
        <w:t xml:space="preserve"> </w:t>
      </w:r>
      <w:r>
        <w:rPr>
          <w:rFonts w:ascii="Times New Roman" w:hAnsi="Times New Roman" w:cs="Times New Roman"/>
          <w:lang w:val="en-GB"/>
        </w:rPr>
        <w:t>D</w:t>
      </w:r>
      <w:r w:rsidRPr="00085FA6">
        <w:rPr>
          <w:rFonts w:ascii="Times New Roman" w:hAnsi="Times New Roman" w:cs="Times New Roman"/>
          <w:lang w:val="en-GB"/>
        </w:rPr>
        <w:t>istribution cost</w:t>
      </w:r>
      <w:r>
        <w:rPr>
          <w:rFonts w:ascii="Times New Roman" w:hAnsi="Times New Roman" w:cs="Times New Roman"/>
          <w:lang w:val="en-GB"/>
        </w:rPr>
        <w:t>s,</w:t>
      </w:r>
      <w:r w:rsidRPr="00085FA6">
        <w:rPr>
          <w:rStyle w:val="FootnoteReference"/>
          <w:rFonts w:ascii="Times New Roman" w:hAnsi="Times New Roman" w:cs="Times New Roman"/>
          <w:lang w:val="en-GB"/>
        </w:rPr>
        <w:footnoteReference w:id="3"/>
      </w:r>
      <w:r w:rsidRPr="00085FA6">
        <w:rPr>
          <w:rFonts w:ascii="Times New Roman" w:hAnsi="Times New Roman" w:cs="Times New Roman"/>
          <w:lang w:val="en-GB"/>
        </w:rPr>
        <w:t xml:space="preserve"> excise taxes and VAT </w:t>
      </w:r>
      <w:r>
        <w:rPr>
          <w:rFonts w:ascii="Times New Roman" w:hAnsi="Times New Roman" w:cs="Times New Roman"/>
          <w:lang w:val="en-GB"/>
        </w:rPr>
        <w:t xml:space="preserve">were then added </w:t>
      </w:r>
      <w:r w:rsidRPr="00085FA6">
        <w:rPr>
          <w:rFonts w:ascii="Times New Roman" w:hAnsi="Times New Roman" w:cs="Times New Roman"/>
          <w:lang w:val="en-GB"/>
        </w:rPr>
        <w:t xml:space="preserve">to </w:t>
      </w:r>
      <w:r>
        <w:rPr>
          <w:rFonts w:ascii="Times New Roman" w:hAnsi="Times New Roman" w:cs="Times New Roman"/>
          <w:lang w:val="en-GB"/>
        </w:rPr>
        <w:t xml:space="preserve">find </w:t>
      </w:r>
      <w:r w:rsidRPr="00085FA6">
        <w:rPr>
          <w:rFonts w:ascii="Times New Roman" w:hAnsi="Times New Roman" w:cs="Times New Roman"/>
          <w:lang w:val="en-GB"/>
        </w:rPr>
        <w:t xml:space="preserve">the end-user price. The IEA does not provide any prices for </w:t>
      </w:r>
      <w:r w:rsidRPr="00AF4174">
        <w:rPr>
          <w:rFonts w:ascii="Times New Roman" w:hAnsi="Times New Roman" w:cs="Times New Roman"/>
          <w:i/>
          <w:lang w:val="en-GB"/>
        </w:rPr>
        <w:t>lignite</w:t>
      </w:r>
      <w:r>
        <w:rPr>
          <w:rFonts w:ascii="Times New Roman" w:hAnsi="Times New Roman" w:cs="Times New Roman"/>
          <w:lang w:val="en-GB"/>
        </w:rPr>
        <w:t xml:space="preserve"> so the price of </w:t>
      </w:r>
      <w:r w:rsidRPr="00085FA6">
        <w:rPr>
          <w:rFonts w:ascii="Times New Roman" w:hAnsi="Times New Roman" w:cs="Times New Roman"/>
          <w:lang w:val="en-GB"/>
        </w:rPr>
        <w:t xml:space="preserve">lignite is </w:t>
      </w:r>
      <w:r>
        <w:rPr>
          <w:rFonts w:ascii="Times New Roman" w:hAnsi="Times New Roman" w:cs="Times New Roman"/>
          <w:lang w:val="en-GB"/>
        </w:rPr>
        <w:t>set to 70 percent</w:t>
      </w:r>
      <w:r w:rsidRPr="00085FA6">
        <w:rPr>
          <w:rFonts w:ascii="Times New Roman" w:hAnsi="Times New Roman" w:cs="Times New Roman"/>
          <w:lang w:val="en-GB"/>
        </w:rPr>
        <w:t xml:space="preserve"> of the price of steam coal in each country.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Energy Prices and Taxes </w:t>
      </w:r>
      <w:proofErr w:type="gramStart"/>
      <w:r w:rsidRPr="00085FA6">
        <w:rPr>
          <w:rFonts w:ascii="Times New Roman" w:hAnsi="Times New Roman" w:cs="Times New Roman"/>
          <w:lang w:val="en-GB"/>
        </w:rPr>
        <w:t>does</w:t>
      </w:r>
      <w:proofErr w:type="gramEnd"/>
      <w:r w:rsidRPr="00085FA6">
        <w:rPr>
          <w:rFonts w:ascii="Times New Roman" w:hAnsi="Times New Roman" w:cs="Times New Roman"/>
          <w:lang w:val="en-GB"/>
        </w:rPr>
        <w:t xml:space="preserve"> not provide prices for </w:t>
      </w:r>
      <w:r w:rsidRPr="00085FA6">
        <w:rPr>
          <w:rFonts w:ascii="Times New Roman" w:hAnsi="Times New Roman" w:cs="Times New Roman"/>
          <w:i/>
          <w:lang w:val="en-GB"/>
        </w:rPr>
        <w:t>biofuels</w:t>
      </w:r>
      <w:r w:rsidRPr="00085FA6">
        <w:rPr>
          <w:rFonts w:ascii="Times New Roman" w:hAnsi="Times New Roman" w:cs="Times New Roman"/>
          <w:lang w:val="en-GB"/>
        </w:rPr>
        <w:t xml:space="preserve"> or </w:t>
      </w:r>
      <w:r w:rsidRPr="00085FA6">
        <w:rPr>
          <w:rFonts w:ascii="Times New Roman" w:hAnsi="Times New Roman" w:cs="Times New Roman"/>
          <w:i/>
          <w:lang w:val="en-GB"/>
        </w:rPr>
        <w:t>biomass</w:t>
      </w:r>
      <w:r w:rsidRPr="00085FA6">
        <w:rPr>
          <w:rFonts w:ascii="Times New Roman" w:hAnsi="Times New Roman" w:cs="Times New Roman"/>
          <w:lang w:val="en-GB"/>
        </w:rPr>
        <w:t>. The biofuel product in the model is a weighted average of bioethanol and biodiesel for each country</w:t>
      </w:r>
      <w:r>
        <w:rPr>
          <w:rFonts w:ascii="Times New Roman" w:hAnsi="Times New Roman" w:cs="Times New Roman"/>
          <w:lang w:val="en-GB"/>
        </w:rPr>
        <w:t>. A set of</w:t>
      </w:r>
      <w:r w:rsidRPr="00085FA6">
        <w:rPr>
          <w:rFonts w:ascii="Times New Roman" w:hAnsi="Times New Roman" w:cs="Times New Roman"/>
          <w:lang w:val="en-GB"/>
        </w:rPr>
        <w:t xml:space="preserve"> end-user prices </w:t>
      </w:r>
      <w:r>
        <w:rPr>
          <w:rFonts w:ascii="Times New Roman" w:hAnsi="Times New Roman" w:cs="Times New Roman"/>
          <w:lang w:val="en-GB"/>
        </w:rPr>
        <w:t>for biofuels in the transport sector was created by using the price of E85 (bioethanol)</w:t>
      </w:r>
      <w:r w:rsidRPr="00085FA6">
        <w:rPr>
          <w:rStyle w:val="FootnoteReference"/>
          <w:rFonts w:ascii="Times New Roman" w:hAnsi="Times New Roman" w:cs="Times New Roman"/>
          <w:lang w:val="en-GB"/>
        </w:rPr>
        <w:footnoteReference w:id="4"/>
      </w:r>
      <w:r w:rsidRPr="00085FA6">
        <w:rPr>
          <w:rFonts w:ascii="Times New Roman" w:hAnsi="Times New Roman" w:cs="Times New Roman"/>
          <w:lang w:val="en-GB"/>
        </w:rPr>
        <w:t xml:space="preserve"> </w:t>
      </w:r>
      <w:r>
        <w:rPr>
          <w:rFonts w:ascii="Times New Roman" w:hAnsi="Times New Roman" w:cs="Times New Roman"/>
          <w:lang w:val="en-GB"/>
        </w:rPr>
        <w:t xml:space="preserve">and the price level of unleaded 95RON (IEA 2011) for each model country. </w:t>
      </w:r>
      <w:r w:rsidRPr="00085FA6">
        <w:rPr>
          <w:rFonts w:ascii="Times New Roman" w:hAnsi="Times New Roman" w:cs="Times New Roman"/>
          <w:lang w:val="en-GB"/>
        </w:rPr>
        <w:t>It is generally assumed that there are no excise taxes. Biomass encompasses a wide variety of different products</w:t>
      </w:r>
      <w:r>
        <w:rPr>
          <w:rFonts w:ascii="Times New Roman" w:hAnsi="Times New Roman" w:cs="Times New Roman"/>
          <w:lang w:val="en-GB"/>
        </w:rPr>
        <w:t xml:space="preserve"> which makes it problematic to set the end-user price. For households the price of wood pellets for each model country from the </w:t>
      </w:r>
      <w:proofErr w:type="spellStart"/>
      <w:r>
        <w:rPr>
          <w:rFonts w:ascii="Times New Roman" w:hAnsi="Times New Roman" w:cs="Times New Roman"/>
          <w:lang w:val="en-GB"/>
        </w:rPr>
        <w:t>Pellets@tlas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projet</w:t>
      </w:r>
      <w:proofErr w:type="spellEnd"/>
      <w:r>
        <w:rPr>
          <w:rFonts w:ascii="Times New Roman" w:hAnsi="Times New Roman" w:cs="Times New Roman"/>
          <w:lang w:val="en-GB"/>
        </w:rPr>
        <w:t xml:space="preserve"> has been used.</w:t>
      </w:r>
      <w:r>
        <w:rPr>
          <w:rStyle w:val="FootnoteReference"/>
          <w:rFonts w:ascii="Times New Roman" w:hAnsi="Times New Roman" w:cs="Times New Roman"/>
          <w:lang w:val="en-GB"/>
        </w:rPr>
        <w:footnoteReference w:id="5"/>
      </w:r>
      <w:r>
        <w:rPr>
          <w:rFonts w:ascii="Times New Roman" w:hAnsi="Times New Roman" w:cs="Times New Roman"/>
          <w:lang w:val="en-GB"/>
        </w:rPr>
        <w:t xml:space="preserve"> For the industry and the electricity producing sectors the picture is even more complex as there will be considerable differences in the type of biomass used by industry customers and power plants. In many cases local residues or industrial waste products will have a low cost (IRENA 2012). Therefore the price of biomass is based on an assessment of each country’s supply curve for biomass, transport and distribution costs.</w:t>
      </w:r>
      <w:r>
        <w:rPr>
          <w:rStyle w:val="FootnoteReference"/>
          <w:rFonts w:ascii="Times New Roman" w:hAnsi="Times New Roman" w:cs="Times New Roman"/>
          <w:lang w:val="en-GB"/>
        </w:rPr>
        <w:footnoteReference w:id="6"/>
      </w:r>
      <w:r>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The </w:t>
      </w:r>
      <w:r w:rsidRPr="00085FA6">
        <w:rPr>
          <w:rFonts w:ascii="Times New Roman" w:hAnsi="Times New Roman" w:cs="Times New Roman"/>
          <w:lang w:val="en-GB"/>
        </w:rPr>
        <w:t xml:space="preserve">Energy Prices and Taxes </w:t>
      </w:r>
      <w:r>
        <w:rPr>
          <w:rFonts w:ascii="Times New Roman" w:hAnsi="Times New Roman" w:cs="Times New Roman"/>
          <w:lang w:val="en-GB"/>
        </w:rPr>
        <w:t xml:space="preserve">publication </w:t>
      </w:r>
      <w:r w:rsidRPr="00085FA6">
        <w:rPr>
          <w:rFonts w:ascii="Times New Roman" w:hAnsi="Times New Roman" w:cs="Times New Roman"/>
          <w:lang w:val="en-GB"/>
        </w:rPr>
        <w:t>does not have any price information for Iceland. Several sources have been used (</w:t>
      </w:r>
      <w:hyperlink r:id="rId10" w:history="1">
        <w:r w:rsidRPr="00085FA6">
          <w:rPr>
            <w:rStyle w:val="Hyperlink"/>
            <w:rFonts w:ascii="Times New Roman" w:hAnsi="Times New Roman" w:cs="Times New Roman"/>
            <w:lang w:val="en-GB"/>
          </w:rPr>
          <w:t>www.statice.is</w:t>
        </w:r>
      </w:hyperlink>
      <w:r w:rsidRPr="00085FA6">
        <w:rPr>
          <w:rFonts w:ascii="Times New Roman" w:hAnsi="Times New Roman" w:cs="Times New Roman"/>
          <w:lang w:val="en-GB"/>
        </w:rPr>
        <w:t xml:space="preserve">, </w:t>
      </w:r>
      <w:proofErr w:type="spellStart"/>
      <w:r w:rsidRPr="00085FA6">
        <w:rPr>
          <w:rFonts w:ascii="Times New Roman" w:hAnsi="Times New Roman" w:cs="Times New Roman"/>
          <w:lang w:val="en-GB"/>
        </w:rPr>
        <w:t>Lindhjem</w:t>
      </w:r>
      <w:proofErr w:type="spellEnd"/>
      <w:r w:rsidRPr="00085FA6">
        <w:rPr>
          <w:rFonts w:ascii="Times New Roman" w:hAnsi="Times New Roman" w:cs="Times New Roman"/>
          <w:lang w:val="en-GB"/>
        </w:rPr>
        <w:t xml:space="preserve"> et al (2009) and </w:t>
      </w:r>
      <w:hyperlink r:id="rId11" w:history="1">
        <w:r w:rsidRPr="00085FA6">
          <w:rPr>
            <w:rStyle w:val="Hyperlink"/>
            <w:rFonts w:ascii="Times New Roman" w:hAnsi="Times New Roman" w:cs="Times New Roman"/>
            <w:lang w:val="en-GB"/>
          </w:rPr>
          <w:t>www.bridgewest.eu</w:t>
        </w:r>
      </w:hyperlink>
      <w:r w:rsidRPr="00085FA6">
        <w:rPr>
          <w:rStyle w:val="Hyperlink"/>
          <w:rFonts w:ascii="Times New Roman" w:hAnsi="Times New Roman" w:cs="Times New Roman"/>
          <w:lang w:val="en-GB"/>
        </w:rPr>
        <w:t>)</w:t>
      </w:r>
      <w:r w:rsidRPr="00085FA6">
        <w:rPr>
          <w:rFonts w:ascii="Times New Roman" w:hAnsi="Times New Roman" w:cs="Times New Roman"/>
          <w:lang w:val="en-GB"/>
        </w:rPr>
        <w:t xml:space="preserve"> to make a full set of prices for Iceland.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There is also a set of</w:t>
      </w:r>
      <w:r w:rsidRPr="00085FA6">
        <w:rPr>
          <w:rFonts w:ascii="Times New Roman" w:hAnsi="Times New Roman" w:cs="Times New Roman"/>
          <w:lang w:val="en-GB"/>
        </w:rPr>
        <w:t xml:space="preserve"> producer prices for all energy sources in the base year. This can be seen as the price in each country’s production node. For gas producing countries this price has been based on BP (2012</w:t>
      </w:r>
      <w:r>
        <w:rPr>
          <w:rFonts w:ascii="Times New Roman" w:hAnsi="Times New Roman" w:cs="Times New Roman"/>
          <w:lang w:val="en-GB"/>
        </w:rPr>
        <w:t>).</w:t>
      </w:r>
      <w:r w:rsidRPr="00085FA6">
        <w:rPr>
          <w:rFonts w:ascii="Times New Roman" w:hAnsi="Times New Roman" w:cs="Times New Roman"/>
          <w:lang w:val="en-GB"/>
        </w:rPr>
        <w:t xml:space="preserve"> </w:t>
      </w:r>
      <w:r>
        <w:rPr>
          <w:rFonts w:ascii="Times New Roman" w:hAnsi="Times New Roman" w:cs="Times New Roman"/>
          <w:lang w:val="en-GB"/>
        </w:rPr>
        <w:t>H</w:t>
      </w:r>
      <w:r w:rsidRPr="00085FA6">
        <w:rPr>
          <w:rFonts w:ascii="Times New Roman" w:hAnsi="Times New Roman" w:cs="Times New Roman"/>
          <w:lang w:val="en-GB"/>
        </w:rPr>
        <w:t xml:space="preserve">owever, for the large gas producing countries data from </w:t>
      </w:r>
      <w:proofErr w:type="spellStart"/>
      <w:r w:rsidRPr="00085FA6">
        <w:rPr>
          <w:rFonts w:ascii="Times New Roman" w:hAnsi="Times New Roman" w:cs="Times New Roman"/>
          <w:lang w:val="en-GB"/>
        </w:rPr>
        <w:t>R</w:t>
      </w:r>
      <w:r>
        <w:rPr>
          <w:rFonts w:ascii="Times New Roman" w:hAnsi="Times New Roman" w:cs="Times New Roman"/>
          <w:lang w:val="en-GB"/>
        </w:rPr>
        <w:t>ystad</w:t>
      </w:r>
      <w:proofErr w:type="spellEnd"/>
      <w:r>
        <w:rPr>
          <w:rFonts w:ascii="Times New Roman" w:hAnsi="Times New Roman" w:cs="Times New Roman"/>
          <w:lang w:val="en-GB"/>
        </w:rPr>
        <w:t xml:space="preserve"> Energy has been used. </w:t>
      </w:r>
      <w:r w:rsidRPr="00085FA6">
        <w:rPr>
          <w:rFonts w:ascii="Times New Roman" w:hAnsi="Times New Roman" w:cs="Times New Roman"/>
          <w:lang w:val="en-GB"/>
        </w:rPr>
        <w:t xml:space="preserve">IEA Energy Prices and Taxes </w:t>
      </w:r>
      <w:proofErr w:type="gramStart"/>
      <w:r w:rsidRPr="00085FA6">
        <w:rPr>
          <w:rFonts w:ascii="Times New Roman" w:hAnsi="Times New Roman" w:cs="Times New Roman"/>
          <w:lang w:val="en-GB"/>
        </w:rPr>
        <w:t>provides</w:t>
      </w:r>
      <w:proofErr w:type="gramEnd"/>
      <w:r w:rsidRPr="00085FA6">
        <w:rPr>
          <w:rFonts w:ascii="Times New Roman" w:hAnsi="Times New Roman" w:cs="Times New Roman"/>
          <w:lang w:val="en-GB"/>
        </w:rPr>
        <w:t xml:space="preserve"> import prices, or beach prices, for natural gas and liquefied natural gas (LNG) for a selection of OECD countries. In the model the beach price is a weighted average of the natural gas price and the LNG price, using quantities from the IEA Extended Energy Balances. All data is for the base year 2009. For the Baltic States the average gas sales price from Gazprom to CIS and the Baltic States for 2009</w:t>
      </w:r>
      <w:r>
        <w:rPr>
          <w:rFonts w:ascii="Times New Roman" w:hAnsi="Times New Roman" w:cs="Times New Roman"/>
          <w:lang w:val="en-GB"/>
        </w:rPr>
        <w:t xml:space="preserve"> has been used</w:t>
      </w:r>
      <w:r w:rsidRPr="00085FA6">
        <w:rPr>
          <w:rFonts w:ascii="Times New Roman" w:hAnsi="Times New Roman" w:cs="Times New Roman"/>
          <w:lang w:val="en-GB"/>
        </w:rPr>
        <w:t>.</w:t>
      </w:r>
      <w:r w:rsidRPr="00085FA6">
        <w:rPr>
          <w:rStyle w:val="FootnoteReference"/>
          <w:rFonts w:ascii="Times New Roman" w:hAnsi="Times New Roman" w:cs="Times New Roman"/>
          <w:lang w:val="en-GB"/>
        </w:rPr>
        <w:footnoteReference w:id="7"/>
      </w:r>
      <w:r w:rsidRPr="00085FA6">
        <w:rPr>
          <w:rFonts w:ascii="Times New Roman" w:hAnsi="Times New Roman" w:cs="Times New Roman"/>
          <w:lang w:val="en-GB"/>
        </w:rPr>
        <w:t xml:space="preserve"> Gazprom also has a price to countries “beyond FSU”, which has been used for some of the eastern European countries when Energy Prices and Taxes does not have import prices.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For coking coal, steam coal, oil, natural gas and LNG the price for “EU member states” from the IEA Energy Prices and Taxes (2010/01) in 2009</w:t>
      </w:r>
      <w:r>
        <w:rPr>
          <w:rFonts w:ascii="Times New Roman" w:hAnsi="Times New Roman" w:cs="Times New Roman"/>
          <w:lang w:val="en-GB"/>
        </w:rPr>
        <w:t xml:space="preserve"> has been used. F</w:t>
      </w:r>
      <w:r w:rsidRPr="00085FA6">
        <w:rPr>
          <w:rFonts w:ascii="Times New Roman" w:hAnsi="Times New Roman" w:cs="Times New Roman"/>
          <w:lang w:val="en-GB"/>
        </w:rPr>
        <w:t>or oil the price of “Brent” from the same publication</w:t>
      </w:r>
      <w:r>
        <w:rPr>
          <w:rFonts w:ascii="Times New Roman" w:hAnsi="Times New Roman" w:cs="Times New Roman"/>
          <w:lang w:val="en-GB"/>
        </w:rPr>
        <w:t xml:space="preserve"> has been used, whereas</w:t>
      </w:r>
      <w:r w:rsidRPr="00085FA6">
        <w:rPr>
          <w:rFonts w:ascii="Times New Roman" w:hAnsi="Times New Roman" w:cs="Times New Roman"/>
          <w:lang w:val="en-GB"/>
        </w:rPr>
        <w:t xml:space="preserve"> OECD FAO Agricultural Outlook 2011-2020 </w:t>
      </w:r>
      <w:r>
        <w:rPr>
          <w:rFonts w:ascii="Times New Roman" w:hAnsi="Times New Roman" w:cs="Times New Roman"/>
          <w:lang w:val="en-GB"/>
        </w:rPr>
        <w:t xml:space="preserve">has been used for </w:t>
      </w:r>
      <w:r w:rsidRPr="00085FA6">
        <w:rPr>
          <w:rFonts w:ascii="Times New Roman" w:hAnsi="Times New Roman" w:cs="Times New Roman"/>
          <w:lang w:val="en-GB"/>
        </w:rPr>
        <w:t>world prices for bioethanol and biodiesel.</w:t>
      </w:r>
      <w:r>
        <w:rPr>
          <w:rFonts w:ascii="Times New Roman" w:hAnsi="Times New Roman" w:cs="Times New Roman"/>
          <w:lang w:val="en-GB"/>
        </w:rPr>
        <w:t xml:space="preserve"> </w:t>
      </w:r>
      <w:r w:rsidRPr="00085FA6">
        <w:rPr>
          <w:rFonts w:ascii="Times New Roman" w:hAnsi="Times New Roman" w:cs="Times New Roman"/>
          <w:lang w:val="en-GB"/>
        </w:rPr>
        <w:t xml:space="preserve">For biomass the producer price in each country is based on Biomass Futures (2012). </w:t>
      </w:r>
    </w:p>
    <w:p w:rsidR="00EA0538" w:rsidRPr="00085FA6" w:rsidRDefault="00EA0538" w:rsidP="00EA0538">
      <w:pPr>
        <w:rPr>
          <w:rFonts w:ascii="Times New Roman" w:hAnsi="Times New Roman" w:cs="Times New Roman"/>
          <w:lang w:val="en-US"/>
        </w:rPr>
      </w:pPr>
    </w:p>
    <w:p w:rsidR="00EA0538" w:rsidRPr="00085FA6" w:rsidRDefault="00EA0538" w:rsidP="00EA0538">
      <w:pPr>
        <w:pStyle w:val="Heading3"/>
        <w:rPr>
          <w:rFonts w:ascii="Times New Roman" w:hAnsi="Times New Roman" w:cs="Times New Roman"/>
          <w:lang w:val="en-US"/>
        </w:rPr>
      </w:pPr>
      <w:bookmarkStart w:id="5" w:name="_Toc386631718"/>
      <w:r w:rsidRPr="00085FA6">
        <w:rPr>
          <w:rFonts w:ascii="Times New Roman" w:hAnsi="Times New Roman" w:cs="Times New Roman"/>
          <w:lang w:val="en-US"/>
        </w:rPr>
        <w:lastRenderedPageBreak/>
        <w:t>3.1.</w:t>
      </w:r>
      <w:r>
        <w:rPr>
          <w:rFonts w:ascii="Times New Roman" w:hAnsi="Times New Roman" w:cs="Times New Roman"/>
          <w:lang w:val="en-US"/>
        </w:rPr>
        <w:t>5</w:t>
      </w:r>
      <w:r w:rsidRPr="00085FA6">
        <w:rPr>
          <w:rFonts w:ascii="Times New Roman" w:hAnsi="Times New Roman" w:cs="Times New Roman"/>
          <w:lang w:val="en-US"/>
        </w:rPr>
        <w:t xml:space="preserve"> Elasticities</w:t>
      </w:r>
      <w:bookmarkEnd w:id="5"/>
    </w:p>
    <w:p w:rsidR="00EA0538" w:rsidRPr="00085FA6" w:rsidRDefault="00EA0538" w:rsidP="00EA0538">
      <w:pPr>
        <w:pStyle w:val="Heading4"/>
        <w:rPr>
          <w:rFonts w:ascii="Times New Roman" w:hAnsi="Times New Roman" w:cs="Times New Roman"/>
          <w:lang w:val="en-US"/>
        </w:rPr>
      </w:pPr>
      <w:r w:rsidRPr="00085FA6">
        <w:rPr>
          <w:rFonts w:ascii="Times New Roman" w:hAnsi="Times New Roman" w:cs="Times New Roman"/>
          <w:lang w:val="en-US"/>
        </w:rPr>
        <w:t>3.1.</w:t>
      </w:r>
      <w:r>
        <w:rPr>
          <w:rFonts w:ascii="Times New Roman" w:hAnsi="Times New Roman" w:cs="Times New Roman"/>
          <w:lang w:val="en-US"/>
        </w:rPr>
        <w:t>5</w:t>
      </w:r>
      <w:r w:rsidRPr="00085FA6">
        <w:rPr>
          <w:rFonts w:ascii="Times New Roman" w:hAnsi="Times New Roman" w:cs="Times New Roman"/>
          <w:lang w:val="en-US"/>
        </w:rPr>
        <w:t>.1 Direct price elasticities</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direct price elasticities are based on Dahl (2006) “Survey of econometric energy demand elasticities – progress report” which looked at 190 studies on elasticities that were published between 1991 and 2006. Based on these studies Dahl finds mean values for coal, oil and electricity. </w:t>
      </w:r>
      <w:r>
        <w:rPr>
          <w:rFonts w:ascii="Times New Roman" w:hAnsi="Times New Roman" w:cs="Times New Roman"/>
          <w:lang w:val="en-GB"/>
        </w:rPr>
        <w:t>These are used</w:t>
      </w:r>
      <w:r w:rsidRPr="00085FA6">
        <w:rPr>
          <w:rFonts w:ascii="Times New Roman" w:hAnsi="Times New Roman" w:cs="Times New Roman"/>
          <w:lang w:val="en-GB"/>
        </w:rPr>
        <w:t xml:space="preserve"> to adjust the country specific elasticities used in LIBEMOD 2000 (</w:t>
      </w:r>
      <w:proofErr w:type="spellStart"/>
      <w:r w:rsidRPr="00085FA6">
        <w:rPr>
          <w:rFonts w:ascii="Times New Roman" w:hAnsi="Times New Roman" w:cs="Times New Roman"/>
          <w:lang w:val="en-GB"/>
        </w:rPr>
        <w:t>Aune</w:t>
      </w:r>
      <w:proofErr w:type="spellEnd"/>
      <w:r w:rsidRPr="00085FA6">
        <w:rPr>
          <w:rFonts w:ascii="Times New Roman" w:hAnsi="Times New Roman" w:cs="Times New Roman"/>
          <w:lang w:val="en-GB"/>
        </w:rPr>
        <w:t xml:space="preserve"> et al. 2008) for the original model countries, so that the weighted elasticities for these countries are equal to Dahl’s mean values.</w:t>
      </w:r>
      <w:r w:rsidRPr="00085FA6">
        <w:rPr>
          <w:rStyle w:val="FootnoteReference"/>
          <w:rFonts w:ascii="Times New Roman" w:hAnsi="Times New Roman" w:cs="Times New Roman"/>
          <w:lang w:val="en-GB"/>
        </w:rPr>
        <w:footnoteReference w:id="8"/>
      </w:r>
      <w:r w:rsidRPr="00085FA6">
        <w:rPr>
          <w:rFonts w:ascii="Times New Roman" w:hAnsi="Times New Roman" w:cs="Times New Roman"/>
          <w:lang w:val="en-GB"/>
        </w:rPr>
        <w:t xml:space="preserve"> Quantities from the IEA statistics were then used to weigh the original elasticities. However, no elasticities were allowed to deviate more than 1/3 from Dahl’s mean value. </w:t>
      </w:r>
      <w:r w:rsidRPr="00085FA6">
        <w:rPr>
          <w:rFonts w:ascii="Times New Roman" w:hAnsi="Times New Roman" w:cs="Times New Roman"/>
          <w:lang w:val="en-US"/>
        </w:rPr>
        <w:t xml:space="preserve">For natural gas the household elasticities from LIBEMOD 2000 </w:t>
      </w:r>
      <w:r>
        <w:rPr>
          <w:rFonts w:ascii="Times New Roman" w:hAnsi="Times New Roman" w:cs="Times New Roman"/>
          <w:lang w:val="en-US"/>
        </w:rPr>
        <w:t xml:space="preserve">are used </w:t>
      </w:r>
      <w:r w:rsidRPr="00085FA6">
        <w:rPr>
          <w:rFonts w:ascii="Times New Roman" w:hAnsi="Times New Roman" w:cs="Times New Roman"/>
          <w:lang w:val="en-US"/>
        </w:rPr>
        <w:t>instead of the mean value in Dahl, as both Dahl’s estimates and LIBEMOD 2000’s industry elasticities were considered to</w:t>
      </w:r>
      <w:r>
        <w:rPr>
          <w:rFonts w:ascii="Times New Roman" w:hAnsi="Times New Roman" w:cs="Times New Roman"/>
          <w:lang w:val="en-US"/>
        </w:rPr>
        <w:t>o</w:t>
      </w:r>
      <w:r w:rsidRPr="00085FA6">
        <w:rPr>
          <w:rFonts w:ascii="Times New Roman" w:hAnsi="Times New Roman" w:cs="Times New Roman"/>
          <w:lang w:val="en-US"/>
        </w:rPr>
        <w:t xml:space="preserve"> high compared to those of other energy goods.  </w:t>
      </w:r>
      <w:r w:rsidRPr="00085FA6">
        <w:rPr>
          <w:rFonts w:ascii="Times New Roman" w:hAnsi="Times New Roman" w:cs="Times New Roman"/>
          <w:lang w:val="en-GB"/>
        </w:rPr>
        <w:t xml:space="preserve">For all new model countries (that LIBEMOD 2000 didn’t cover) Dahl’s mean values have been used (apart from for natural gas, where the household average from LIBEMOD 2000 was used). Dahl’s mean values are -0.21 in the short-run and -0.6 in the long-run for coal (household and industry), -0.14 in the short-run and -0.9 in the long-run for fuel oil (household and industry), and -0.14 and -0.56 for industrial electricity demand and -0.23 and -0.43 for household demand. For biomass the same elasticities as for oil </w:t>
      </w:r>
      <w:r>
        <w:rPr>
          <w:rFonts w:ascii="Times New Roman" w:hAnsi="Times New Roman" w:cs="Times New Roman"/>
          <w:lang w:val="en-GB"/>
        </w:rPr>
        <w:t xml:space="preserve">are used for </w:t>
      </w:r>
      <w:r w:rsidRPr="00085FA6">
        <w:rPr>
          <w:rFonts w:ascii="Times New Roman" w:hAnsi="Times New Roman" w:cs="Times New Roman"/>
          <w:lang w:val="en-GB"/>
        </w:rPr>
        <w:t xml:space="preserve">all sectors.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For oil in the transport sector, Dahl (2012) was used. This study is based on Dahl Energy Demand Database for Gasoline and Dahl Energy Demand Database for Diesel, which consists of a large selection of elasticities from various studies. The paper provides elasticities for gasoline and diesel for all the model countries. An average of the elasticities of the two fuels was used for the long-run elasticity of each country. For gasoline </w:t>
      </w:r>
      <w:r w:rsidRPr="00085FA6">
        <w:rPr>
          <w:rFonts w:ascii="Times New Roman" w:hAnsi="Times New Roman" w:cs="Times New Roman"/>
          <w:lang w:val="en-US"/>
        </w:rPr>
        <w:t xml:space="preserve">Dahl has a separate column of elasticities where the effects of fuel policies in the specific country have been adjusted for. </w:t>
      </w:r>
      <w:r w:rsidRPr="00085FA6">
        <w:rPr>
          <w:rFonts w:ascii="Times New Roman" w:hAnsi="Times New Roman" w:cs="Times New Roman"/>
          <w:lang w:val="en-GB"/>
        </w:rPr>
        <w:t>For gasoline this was used. To create short-run elasticities for each country, the difference between the long-run and short-run elasticities from LIBEMOD 2000 (</w:t>
      </w:r>
      <w:proofErr w:type="spellStart"/>
      <w:r w:rsidRPr="00085FA6">
        <w:rPr>
          <w:rFonts w:ascii="Times New Roman" w:hAnsi="Times New Roman" w:cs="Times New Roman"/>
          <w:lang w:val="en-GB"/>
        </w:rPr>
        <w:t>Aune</w:t>
      </w:r>
      <w:proofErr w:type="spellEnd"/>
      <w:r w:rsidRPr="00085FA6">
        <w:rPr>
          <w:rFonts w:ascii="Times New Roman" w:hAnsi="Times New Roman" w:cs="Times New Roman"/>
          <w:lang w:val="en-GB"/>
        </w:rPr>
        <w:t xml:space="preserve"> et al. 2008) was used. The elasticities for oil in the transport sector are country specific and range between -0.06 and -0.18 in the short run and -0.18 and -0.49 in the long-run. </w:t>
      </w:r>
      <w:r>
        <w:rPr>
          <w:rFonts w:ascii="Times New Roman" w:hAnsi="Times New Roman" w:cs="Times New Roman"/>
          <w:lang w:val="en-GB"/>
        </w:rPr>
        <w:t xml:space="preserve">These </w:t>
      </w:r>
      <w:r w:rsidRPr="00085FA6">
        <w:rPr>
          <w:rFonts w:ascii="Times New Roman" w:hAnsi="Times New Roman" w:cs="Times New Roman"/>
          <w:lang w:val="en-GB"/>
        </w:rPr>
        <w:t xml:space="preserve">elasticities </w:t>
      </w:r>
      <w:r>
        <w:rPr>
          <w:rFonts w:ascii="Times New Roman" w:hAnsi="Times New Roman" w:cs="Times New Roman"/>
          <w:lang w:val="en-GB"/>
        </w:rPr>
        <w:t xml:space="preserve">are also used for biofuels </w:t>
      </w:r>
      <w:r w:rsidRPr="00085FA6">
        <w:rPr>
          <w:rFonts w:ascii="Times New Roman" w:hAnsi="Times New Roman" w:cs="Times New Roman"/>
          <w:lang w:val="en-GB"/>
        </w:rPr>
        <w:t>in the transport sector.</w:t>
      </w:r>
    </w:p>
    <w:p w:rsidR="00EA0538" w:rsidRDefault="00EA0538" w:rsidP="00EA0538">
      <w:pPr>
        <w:rPr>
          <w:rFonts w:ascii="Times New Roman" w:hAnsi="Times New Roman" w:cs="Times New Roman"/>
          <w:lang w:val="en-GB"/>
        </w:rPr>
      </w:pPr>
    </w:p>
    <w:p w:rsidR="00EA0538" w:rsidRPr="008F0D44" w:rsidRDefault="00EA0538" w:rsidP="00EA0538">
      <w:pPr>
        <w:rPr>
          <w:rStyle w:val="Heading4Char"/>
          <w:rFonts w:ascii="Times New Roman" w:hAnsi="Times New Roman" w:cs="Times New Roman"/>
          <w:lang w:val="en-US"/>
        </w:rPr>
      </w:pPr>
      <w:r w:rsidRPr="00085FA6">
        <w:rPr>
          <w:rFonts w:ascii="Times New Roman" w:hAnsi="Times New Roman" w:cs="Times New Roman"/>
          <w:lang w:val="en-GB"/>
        </w:rPr>
        <w:br/>
      </w:r>
      <w:r w:rsidRPr="008F0D44">
        <w:rPr>
          <w:rStyle w:val="Heading4Char"/>
          <w:rFonts w:ascii="Times New Roman" w:hAnsi="Times New Roman" w:cs="Times New Roman"/>
          <w:lang w:val="en-US"/>
        </w:rPr>
        <w:t>3.1.</w:t>
      </w:r>
      <w:r>
        <w:rPr>
          <w:rStyle w:val="Heading4Char"/>
          <w:rFonts w:ascii="Times New Roman" w:hAnsi="Times New Roman" w:cs="Times New Roman"/>
          <w:lang w:val="en-US"/>
        </w:rPr>
        <w:t>5</w:t>
      </w:r>
      <w:r w:rsidRPr="008F0D44">
        <w:rPr>
          <w:rStyle w:val="Heading4Char"/>
          <w:rFonts w:ascii="Times New Roman" w:hAnsi="Times New Roman" w:cs="Times New Roman"/>
          <w:lang w:val="en-US"/>
        </w:rPr>
        <w:t>.2 Cross-price elasticities</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Estimates of cross-price elasticities vary significantly in the literature, and there are few comprehensive studies available. As a result of not detecting any particular pattern, equal elasticities across fuels and countries have been used. However, cross-price elasticities </w:t>
      </w:r>
      <w:r>
        <w:rPr>
          <w:rFonts w:ascii="Times New Roman" w:hAnsi="Times New Roman" w:cs="Times New Roman"/>
          <w:lang w:val="en-GB"/>
        </w:rPr>
        <w:t xml:space="preserve">are assumed to be </w:t>
      </w:r>
      <w:r w:rsidRPr="00085FA6">
        <w:rPr>
          <w:rFonts w:ascii="Times New Roman" w:hAnsi="Times New Roman" w:cs="Times New Roman"/>
          <w:lang w:val="en-GB"/>
        </w:rPr>
        <w:t xml:space="preserve">higher for industry than for households, based on the assumption that firms are more flexible in their fuel choices than households. For households 0.0125 </w:t>
      </w:r>
      <w:r>
        <w:rPr>
          <w:rFonts w:ascii="Times New Roman" w:hAnsi="Times New Roman" w:cs="Times New Roman"/>
          <w:lang w:val="en-GB"/>
        </w:rPr>
        <w:t xml:space="preserve">was chosen </w:t>
      </w:r>
      <w:r w:rsidRPr="00085FA6">
        <w:rPr>
          <w:rFonts w:ascii="Times New Roman" w:hAnsi="Times New Roman" w:cs="Times New Roman"/>
          <w:lang w:val="en-GB"/>
        </w:rPr>
        <w:t xml:space="preserve">as the short-run </w:t>
      </w:r>
      <w:proofErr w:type="gramStart"/>
      <w:r w:rsidRPr="00085FA6">
        <w:rPr>
          <w:rFonts w:ascii="Times New Roman" w:hAnsi="Times New Roman" w:cs="Times New Roman"/>
          <w:lang w:val="en-GB"/>
        </w:rPr>
        <w:t>elasticity,</w:t>
      </w:r>
      <w:proofErr w:type="gramEnd"/>
      <w:r w:rsidRPr="00085FA6">
        <w:rPr>
          <w:rFonts w:ascii="Times New Roman" w:hAnsi="Times New Roman" w:cs="Times New Roman"/>
          <w:lang w:val="en-GB"/>
        </w:rPr>
        <w:t xml:space="preserve"> and 0.05 as the long-run elasticity. For industry the values are set to 0.025 and 0.1. </w:t>
      </w:r>
      <w:r>
        <w:rPr>
          <w:rFonts w:ascii="Times New Roman" w:hAnsi="Times New Roman" w:cs="Times New Roman"/>
          <w:lang w:val="en-GB"/>
        </w:rPr>
        <w:t>The same</w:t>
      </w:r>
      <w:r w:rsidRPr="00085FA6">
        <w:rPr>
          <w:rFonts w:ascii="Times New Roman" w:hAnsi="Times New Roman" w:cs="Times New Roman"/>
          <w:lang w:val="en-GB"/>
        </w:rPr>
        <w:t xml:space="preserve"> elasticities </w:t>
      </w:r>
      <w:r>
        <w:rPr>
          <w:rFonts w:ascii="Times New Roman" w:hAnsi="Times New Roman" w:cs="Times New Roman"/>
          <w:lang w:val="en-GB"/>
        </w:rPr>
        <w:t xml:space="preserve">were used for the service sector </w:t>
      </w:r>
      <w:r w:rsidRPr="00085FA6">
        <w:rPr>
          <w:rFonts w:ascii="Times New Roman" w:hAnsi="Times New Roman" w:cs="Times New Roman"/>
          <w:lang w:val="en-GB"/>
        </w:rPr>
        <w:t xml:space="preserve">as </w:t>
      </w:r>
      <w:r>
        <w:rPr>
          <w:rFonts w:ascii="Times New Roman" w:hAnsi="Times New Roman" w:cs="Times New Roman"/>
          <w:lang w:val="en-GB"/>
        </w:rPr>
        <w:t xml:space="preserve">for </w:t>
      </w:r>
      <w:r w:rsidRPr="00085FA6">
        <w:rPr>
          <w:rFonts w:ascii="Times New Roman" w:hAnsi="Times New Roman" w:cs="Times New Roman"/>
          <w:lang w:val="en-GB"/>
        </w:rPr>
        <w:t>households.</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Note that the elasticities are not implemented directly in the model, but used in the calibration process of the CES demand parameters (see chapter 1.8).</w:t>
      </w:r>
    </w:p>
    <w:p w:rsidR="00EA0538" w:rsidRPr="00085FA6" w:rsidRDefault="00EA0538" w:rsidP="00EA0538">
      <w:pPr>
        <w:pStyle w:val="CommentText"/>
        <w:rPr>
          <w:rFonts w:ascii="Times New Roman" w:hAnsi="Times New Roman" w:cs="Times New Roman"/>
          <w:sz w:val="22"/>
          <w:szCs w:val="22"/>
          <w:lang w:val="en-GB"/>
        </w:rPr>
      </w:pPr>
    </w:p>
    <w:p w:rsidR="00EA0538" w:rsidRPr="00085FA6" w:rsidRDefault="00EA0538" w:rsidP="00EA0538">
      <w:pPr>
        <w:pStyle w:val="Heading4"/>
        <w:rPr>
          <w:rFonts w:ascii="Times New Roman" w:hAnsi="Times New Roman" w:cs="Times New Roman"/>
          <w:lang w:val="en-GB"/>
        </w:rPr>
      </w:pPr>
      <w:r w:rsidRPr="00085FA6">
        <w:rPr>
          <w:rFonts w:ascii="Times New Roman" w:hAnsi="Times New Roman" w:cs="Times New Roman"/>
          <w:lang w:val="en-GB"/>
        </w:rPr>
        <w:t>3.1.</w:t>
      </w:r>
      <w:r>
        <w:rPr>
          <w:rFonts w:ascii="Times New Roman" w:hAnsi="Times New Roman" w:cs="Times New Roman"/>
          <w:lang w:val="en-GB"/>
        </w:rPr>
        <w:t>5</w:t>
      </w:r>
      <w:r w:rsidRPr="00085FA6">
        <w:rPr>
          <w:rFonts w:ascii="Times New Roman" w:hAnsi="Times New Roman" w:cs="Times New Roman"/>
          <w:lang w:val="en-GB"/>
        </w:rPr>
        <w:t>.3 Income elasticities</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The income elasticities are calibrated using average projected annual GDP growth rates from 2009 to 2035, average projected annual growth rates in energy consumption (for each sector and energy type) along with corresponding projected energy prices, and the price elasticities use</w:t>
      </w:r>
      <w:r>
        <w:rPr>
          <w:rFonts w:ascii="Times New Roman" w:eastAsia="SimSun" w:hAnsi="Times New Roman" w:cs="Times New Roman"/>
          <w:lang w:val="en-GB"/>
        </w:rPr>
        <w:t>d</w:t>
      </w:r>
      <w:r w:rsidRPr="00085FA6">
        <w:rPr>
          <w:rFonts w:ascii="Times New Roman" w:eastAsia="SimSun" w:hAnsi="Times New Roman" w:cs="Times New Roman"/>
          <w:lang w:val="en-GB"/>
        </w:rPr>
        <w:t xml:space="preserve"> in the model (see above). The income elasticities can then be calibrated as the non-price changes in consumption relative to the changes in GDP.</w:t>
      </w:r>
      <w:r>
        <w:rPr>
          <w:rFonts w:ascii="Times New Roman" w:eastAsia="SimSun" w:hAnsi="Times New Roman" w:cs="Times New Roman"/>
          <w:lang w:val="en-GB"/>
        </w:rPr>
        <w:t xml:space="preserve"> </w:t>
      </w:r>
      <w:r w:rsidRPr="00085FA6">
        <w:rPr>
          <w:rFonts w:ascii="Times New Roman" w:eastAsia="SimSun" w:hAnsi="Times New Roman" w:cs="Times New Roman"/>
          <w:lang w:val="en-GB"/>
        </w:rPr>
        <w:t xml:space="preserve">World Energy Outlook 2011 (IEA) has been used as the source for projected growth rates of GDP and energy consumption as well as for price projections. All assumptions are taken from the Current Policies Scenario (CPS). </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lastRenderedPageBreak/>
        <w:t>For coal the calibrated income elasticity comes out at -0.14 for the household and service sector (this could be due to structural changes and/or improvements in efficiency). A negative elasticity is infeasible in the CES setup, and therefore the elasticity is set to a small positive number (0.2). All the other calibrated income elasticities are positive. Due to lack of sources for biomass, we have used the same elasticities as for oil.</w:t>
      </w:r>
    </w:p>
    <w:p w:rsidR="00EA0538" w:rsidRPr="00085FA6" w:rsidRDefault="00EA0538" w:rsidP="00EA0538">
      <w:pPr>
        <w:rPr>
          <w:rFonts w:ascii="Times New Roman" w:hAnsi="Times New Roman" w:cs="Times New Roman"/>
          <w:lang w:val="en-GB"/>
        </w:rPr>
      </w:pPr>
    </w:p>
    <w:p w:rsidR="00EA0538" w:rsidRPr="00085FA6" w:rsidRDefault="00EA0538" w:rsidP="00EA0538">
      <w:pPr>
        <w:pStyle w:val="Heading3"/>
        <w:rPr>
          <w:rFonts w:ascii="Times New Roman" w:hAnsi="Times New Roman" w:cs="Times New Roman"/>
          <w:lang w:val="en-US"/>
        </w:rPr>
      </w:pPr>
      <w:bookmarkStart w:id="6" w:name="_Toc386631719"/>
      <w:r w:rsidRPr="00085FA6">
        <w:rPr>
          <w:rFonts w:ascii="Times New Roman" w:hAnsi="Times New Roman" w:cs="Times New Roman"/>
          <w:lang w:val="en-US"/>
        </w:rPr>
        <w:t>3.1.</w:t>
      </w:r>
      <w:r>
        <w:rPr>
          <w:rFonts w:ascii="Times New Roman" w:hAnsi="Times New Roman" w:cs="Times New Roman"/>
          <w:lang w:val="en-US"/>
        </w:rPr>
        <w:t>6</w:t>
      </w:r>
      <w:r w:rsidRPr="00085FA6">
        <w:rPr>
          <w:rFonts w:ascii="Times New Roman" w:hAnsi="Times New Roman" w:cs="Times New Roman"/>
          <w:lang w:val="en-US"/>
        </w:rPr>
        <w:t xml:space="preserve"> GDP Growth rates</w:t>
      </w:r>
      <w:bookmarkEnd w:id="6"/>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Historic GDP growth rates and projections until 2017 are taken from the IMF (International Monetary Fund World Economic Outlook Database). The database provides data for all the model countries and the exogenous countries Algeria, Belarus, Russia and Ukraine. For YU (the countries of former Yugoslavia) the average of Serbia and Croatia</w:t>
      </w:r>
      <w:r>
        <w:rPr>
          <w:rFonts w:ascii="Times New Roman" w:hAnsi="Times New Roman" w:cs="Times New Roman"/>
          <w:lang w:val="en-GB"/>
        </w:rPr>
        <w:t xml:space="preserve"> has been used</w:t>
      </w:r>
      <w:r w:rsidRPr="00085FA6">
        <w:rPr>
          <w:rFonts w:ascii="Times New Roman" w:hAnsi="Times New Roman" w:cs="Times New Roman"/>
          <w:lang w:val="en-GB"/>
        </w:rPr>
        <w:t xml:space="preserve">, and for ROW (rest of the world) the growth in GDP for the rest of the world. </w:t>
      </w:r>
      <w:r>
        <w:rPr>
          <w:rFonts w:ascii="Times New Roman" w:hAnsi="Times New Roman" w:cs="Times New Roman"/>
          <w:lang w:val="en-GB"/>
        </w:rPr>
        <w:t>H</w:t>
      </w:r>
      <w:r w:rsidRPr="00085FA6">
        <w:rPr>
          <w:rFonts w:ascii="Times New Roman" w:hAnsi="Times New Roman" w:cs="Times New Roman"/>
          <w:lang w:val="en-GB"/>
        </w:rPr>
        <w:t>istoric GDP growth rates from 2009 to 2012 and projections from 2012 to 2017</w:t>
      </w:r>
      <w:r>
        <w:rPr>
          <w:rFonts w:ascii="Times New Roman" w:hAnsi="Times New Roman" w:cs="Times New Roman"/>
          <w:lang w:val="en-GB"/>
        </w:rPr>
        <w:t xml:space="preserve"> are used</w:t>
      </w:r>
      <w:r w:rsidRPr="00085FA6">
        <w:rPr>
          <w:rFonts w:ascii="Times New Roman" w:hAnsi="Times New Roman" w:cs="Times New Roman"/>
          <w:lang w:val="en-GB"/>
        </w:rPr>
        <w:t>. For 2018 to 2030 World Bank projections for GDP growth have been used for all countries. From 2030 to 2050 World Bank projections of population growth</w:t>
      </w:r>
      <w:r>
        <w:rPr>
          <w:rFonts w:ascii="Times New Roman" w:hAnsi="Times New Roman" w:cs="Times New Roman"/>
          <w:lang w:val="en-GB"/>
        </w:rPr>
        <w:t xml:space="preserve"> are used</w:t>
      </w:r>
      <w:r w:rsidRPr="00085FA6">
        <w:rPr>
          <w:rFonts w:ascii="Times New Roman" w:hAnsi="Times New Roman" w:cs="Times New Roman"/>
          <w:lang w:val="en-GB"/>
        </w:rPr>
        <w:t xml:space="preserve">, </w:t>
      </w:r>
      <w:r>
        <w:rPr>
          <w:rFonts w:ascii="Times New Roman" w:hAnsi="Times New Roman" w:cs="Times New Roman"/>
          <w:lang w:val="en-GB"/>
        </w:rPr>
        <w:t>along with an assumption of</w:t>
      </w:r>
      <w:r w:rsidRPr="00085FA6">
        <w:rPr>
          <w:rFonts w:ascii="Times New Roman" w:hAnsi="Times New Roman" w:cs="Times New Roman"/>
          <w:lang w:val="en-GB"/>
        </w:rPr>
        <w:t xml:space="preserve"> a gradual reduction in GDP per capita </w:t>
      </w:r>
      <w:r>
        <w:rPr>
          <w:rFonts w:ascii="Times New Roman" w:hAnsi="Times New Roman" w:cs="Times New Roman"/>
          <w:lang w:val="en-GB"/>
        </w:rPr>
        <w:t xml:space="preserve">growth rates </w:t>
      </w:r>
      <w:r w:rsidRPr="00085FA6">
        <w:rPr>
          <w:rFonts w:ascii="Times New Roman" w:hAnsi="Times New Roman" w:cs="Times New Roman"/>
          <w:lang w:val="en-GB"/>
        </w:rPr>
        <w:t>towards 1% p.a</w:t>
      </w:r>
      <w:r>
        <w:rPr>
          <w:rFonts w:ascii="Times New Roman" w:hAnsi="Times New Roman" w:cs="Times New Roman"/>
          <w:lang w:val="en-GB"/>
        </w:rPr>
        <w:t>.</w:t>
      </w:r>
      <w:r w:rsidRPr="00085FA6">
        <w:rPr>
          <w:rFonts w:ascii="Times New Roman" w:hAnsi="Times New Roman" w:cs="Times New Roman"/>
          <w:lang w:val="en-GB"/>
        </w:rPr>
        <w:t xml:space="preserve"> from 2030 to 2050.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Average annual GDP growth from 2009 to 2035 varies from 0.9 to 4.2 % among the model countries. The countries with the highest growth rates are the Baltic States (Lithuania 4.2 %, Latvia 4.0 % and Estonia 3.5 %) and Eastern European countries like the Slovak Republic (3.8 %), Czech Republic (3.6 %), Slovenia (3.2 %) and Hungary (3.2 %). The lowest rates are found in Southern Europe in Greece (0.6 %), Italy (0.9 %), Portugal (1.0 %) and Spain (1.0 %). Growth rates among many countries in Northern Europe are also at the lower end of the scale; Denmark (1.1 %), the Netherlands (1.2 %), Germany (1.3 %) and Belgium (1.3 %). </w:t>
      </w:r>
    </w:p>
    <w:p w:rsidR="00EA0538" w:rsidRPr="00085FA6" w:rsidRDefault="00EA0538" w:rsidP="00EA0538">
      <w:pPr>
        <w:pStyle w:val="Heading3"/>
        <w:jc w:val="both"/>
        <w:rPr>
          <w:rFonts w:ascii="Times New Roman" w:hAnsi="Times New Roman" w:cs="Times New Roman"/>
          <w:lang w:val="en-GB"/>
        </w:rPr>
      </w:pPr>
      <w:r w:rsidRPr="00085FA6">
        <w:rPr>
          <w:rFonts w:ascii="Times New Roman" w:hAnsi="Times New Roman" w:cs="Times New Roman"/>
          <w:lang w:val="en-GB"/>
        </w:rPr>
        <w:br/>
      </w:r>
      <w:bookmarkStart w:id="7" w:name="_Toc386631720"/>
      <w:r w:rsidRPr="00085FA6">
        <w:rPr>
          <w:rFonts w:ascii="Times New Roman" w:hAnsi="Times New Roman" w:cs="Times New Roman"/>
          <w:lang w:val="en-GB"/>
        </w:rPr>
        <w:t>3.1.</w:t>
      </w:r>
      <w:r>
        <w:rPr>
          <w:rFonts w:ascii="Times New Roman" w:hAnsi="Times New Roman" w:cs="Times New Roman"/>
          <w:lang w:val="en-GB"/>
        </w:rPr>
        <w:t>7</w:t>
      </w:r>
      <w:r w:rsidRPr="00085FA6">
        <w:rPr>
          <w:rFonts w:ascii="Times New Roman" w:hAnsi="Times New Roman" w:cs="Times New Roman"/>
          <w:lang w:val="en-GB"/>
        </w:rPr>
        <w:t xml:space="preserve"> CES Demand parameters</w:t>
      </w:r>
      <w:bookmarkEnd w:id="7"/>
      <w:r w:rsidRPr="00085FA6">
        <w:rPr>
          <w:rFonts w:ascii="Times New Roman" w:hAnsi="Times New Roman" w:cs="Times New Roman"/>
          <w:lang w:val="en-GB"/>
        </w:rPr>
        <w:t xml:space="preserve">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US"/>
        </w:rPr>
        <w:t>The</w:t>
      </w:r>
      <w:r w:rsidRPr="00085FA6">
        <w:rPr>
          <w:rFonts w:ascii="Times New Roman" w:hAnsi="Times New Roman" w:cs="Times New Roman"/>
          <w:lang w:val="en-US"/>
        </w:rPr>
        <w:t xml:space="preserve"> final demand sectors </w:t>
      </w:r>
      <w:r>
        <w:rPr>
          <w:rFonts w:ascii="Times New Roman" w:hAnsi="Times New Roman" w:cs="Times New Roman"/>
          <w:lang w:val="en-US"/>
        </w:rPr>
        <w:t xml:space="preserve">are modelled </w:t>
      </w:r>
      <w:r w:rsidRPr="00085FA6">
        <w:rPr>
          <w:rFonts w:ascii="Times New Roman" w:hAnsi="Times New Roman" w:cs="Times New Roman"/>
          <w:lang w:val="en-US"/>
        </w:rPr>
        <w:t xml:space="preserve">using a nested Constant Elasticity of Substitution (CES) utility function, thereby combining consistency in behavior with relative flexibility in calibrating the demand elasticities of the main energy commodities. In the nested CES formulation, a nest is a CES function of one, two or several primary or market commodities. This effectively defines a composite or aggregate commodity that may itself be an argument of a higher-level CES function. In higher-level CES nests, the arguments may be both lower-level nests and primary commodities, collectively called goods. </w:t>
      </w:r>
      <w:r w:rsidRPr="00085FA6">
        <w:rPr>
          <w:rFonts w:ascii="Times New Roman" w:hAnsi="Times New Roman" w:cs="Times New Roman"/>
          <w:lang w:val="en-GB"/>
        </w:rPr>
        <w:t xml:space="preserve">In the top-level nest, a general “money” commodity enters complementarily to the total energy aggregate. The price of this money good is set at one, and the quantity is calculated to make the sum of the values of the energy aggregate and the money good equal to the value of the total consumption.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prices and quantities in the CES demand tree are taken from the above mentioned sources (see chapter 1.3 and 1.5). We have annual energy goods (gas, oil, steam coal, coking coal, lignite, biomass and biofuels) as well as the four period electricity goods. As each main or aggregate good (gas, oil, coal, bioenergy and the annual electricity aggregate) enters in a nest complementary to an “energy-using good”, the quantities and prices of these have to be specified. Lacking good sources, the prices of the complementary goods are all set to one (thus, indirectly defining the unit of measurement), and the quantities are all assumed to be equal to the value of the energy good in question. For the total value of consumption, including energy and non-energy goods, the values are taken from statistics on final consumption expenditure from Eurostat. The gross value of production by sector is taken from Eurostat for all countries, where we have used the “National accounts by 21 branches” dataset.</w:t>
      </w:r>
      <w:r w:rsidRPr="00085FA6">
        <w:rPr>
          <w:rStyle w:val="FootnoteReference"/>
          <w:rFonts w:ascii="Times New Roman" w:hAnsi="Times New Roman" w:cs="Times New Roman"/>
          <w:lang w:val="en-GB"/>
        </w:rPr>
        <w:footnoteReference w:id="9"/>
      </w:r>
      <w:r w:rsidRPr="00085FA6">
        <w:rPr>
          <w:rFonts w:ascii="Times New Roman" w:hAnsi="Times New Roman" w:cs="Times New Roman"/>
          <w:lang w:val="en-GB"/>
        </w:rPr>
        <w:t xml:space="preserve"> The value of production for the industry sector consists of the Eurostat-categories (</w:t>
      </w:r>
      <w:proofErr w:type="spellStart"/>
      <w:r w:rsidRPr="00085FA6">
        <w:rPr>
          <w:rFonts w:ascii="Times New Roman" w:hAnsi="Times New Roman" w:cs="Times New Roman"/>
          <w:lang w:val="en-GB"/>
        </w:rPr>
        <w:t>i</w:t>
      </w:r>
      <w:proofErr w:type="spellEnd"/>
      <w:r w:rsidRPr="00085FA6">
        <w:rPr>
          <w:rFonts w:ascii="Times New Roman" w:hAnsi="Times New Roman" w:cs="Times New Roman"/>
          <w:lang w:val="en-GB"/>
        </w:rPr>
        <w:t xml:space="preserve">) agriculture, forestry and fishing, (ii) mining and quarrying, (iii) manufacturing and </w:t>
      </w:r>
      <w:proofErr w:type="gramStart"/>
      <w:r w:rsidRPr="00085FA6">
        <w:rPr>
          <w:rFonts w:ascii="Times New Roman" w:hAnsi="Times New Roman" w:cs="Times New Roman"/>
          <w:lang w:val="en-GB"/>
        </w:rPr>
        <w:t>(iv)</w:t>
      </w:r>
      <w:r>
        <w:rPr>
          <w:rFonts w:ascii="Times New Roman" w:hAnsi="Times New Roman" w:cs="Times New Roman"/>
          <w:lang w:val="en-GB"/>
        </w:rPr>
        <w:t xml:space="preserve"> </w:t>
      </w:r>
      <w:r w:rsidRPr="00085FA6">
        <w:rPr>
          <w:rFonts w:ascii="Times New Roman" w:hAnsi="Times New Roman" w:cs="Times New Roman"/>
          <w:lang w:val="en-GB"/>
        </w:rPr>
        <w:t>construction</w:t>
      </w:r>
      <w:proofErr w:type="gramEnd"/>
      <w:r w:rsidRPr="00085FA6">
        <w:rPr>
          <w:rFonts w:ascii="Times New Roman" w:hAnsi="Times New Roman" w:cs="Times New Roman"/>
          <w:lang w:val="en-GB"/>
        </w:rPr>
        <w:t>. The value for the transport sector is equivalent to transportation and storage in the Eurostat dataset, whereas the remaining categories (except electricity, gas, steam and air conditioning supply) make up the service sector. For the household sector we have used data on final consumption expenditure from Eurostat.</w:t>
      </w:r>
      <w:r w:rsidRPr="00085FA6">
        <w:rPr>
          <w:rStyle w:val="FootnoteReference"/>
          <w:rFonts w:ascii="Times New Roman" w:hAnsi="Times New Roman" w:cs="Times New Roman"/>
          <w:lang w:val="en-GB"/>
        </w:rPr>
        <w:footnoteReference w:id="10"/>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For Bulgaria, Great Britain, Ireland and Malta there were missing values for some of the sectors in 2009. For the countries where data </w:t>
      </w:r>
      <w:r>
        <w:rPr>
          <w:rFonts w:ascii="Times New Roman" w:hAnsi="Times New Roman" w:cs="Times New Roman"/>
          <w:lang w:val="en-GB"/>
        </w:rPr>
        <w:t xml:space="preserve">is available </w:t>
      </w:r>
      <w:r w:rsidRPr="00085FA6">
        <w:rPr>
          <w:rFonts w:ascii="Times New Roman" w:hAnsi="Times New Roman" w:cs="Times New Roman"/>
          <w:lang w:val="en-GB"/>
        </w:rPr>
        <w:t xml:space="preserve">from previous years, the same growth rate </w:t>
      </w:r>
      <w:r>
        <w:rPr>
          <w:rFonts w:ascii="Times New Roman" w:hAnsi="Times New Roman" w:cs="Times New Roman"/>
          <w:lang w:val="en-GB"/>
        </w:rPr>
        <w:t xml:space="preserve">has been assumed </w:t>
      </w:r>
      <w:r w:rsidRPr="00085FA6">
        <w:rPr>
          <w:rFonts w:ascii="Times New Roman" w:hAnsi="Times New Roman" w:cs="Times New Roman"/>
          <w:lang w:val="en-GB"/>
        </w:rPr>
        <w:t xml:space="preserve">as for other sectors in </w:t>
      </w:r>
      <w:r w:rsidRPr="00085FA6">
        <w:rPr>
          <w:rFonts w:ascii="Times New Roman" w:hAnsi="Times New Roman" w:cs="Times New Roman"/>
          <w:lang w:val="en-GB"/>
        </w:rPr>
        <w:lastRenderedPageBreak/>
        <w:t xml:space="preserve">the country (i.e. assume the same growth in the industry sector as in the household sector), whereas for countries without any information </w:t>
      </w:r>
      <w:r>
        <w:rPr>
          <w:rFonts w:ascii="Times New Roman" w:hAnsi="Times New Roman" w:cs="Times New Roman"/>
          <w:lang w:val="en-GB"/>
        </w:rPr>
        <w:t xml:space="preserve">assumptions have been made based on </w:t>
      </w:r>
      <w:r w:rsidRPr="00085FA6">
        <w:rPr>
          <w:rFonts w:ascii="Times New Roman" w:hAnsi="Times New Roman" w:cs="Times New Roman"/>
          <w:lang w:val="en-GB"/>
        </w:rPr>
        <w:t xml:space="preserve">other countries with similar </w:t>
      </w:r>
      <w:r>
        <w:rPr>
          <w:rFonts w:ascii="Times New Roman" w:hAnsi="Times New Roman" w:cs="Times New Roman"/>
          <w:lang w:val="en-GB"/>
        </w:rPr>
        <w:t xml:space="preserve">demand </w:t>
      </w:r>
      <w:r w:rsidRPr="00085FA6">
        <w:rPr>
          <w:rFonts w:ascii="Times New Roman" w:hAnsi="Times New Roman" w:cs="Times New Roman"/>
          <w:lang w:val="en-GB"/>
        </w:rPr>
        <w:t xml:space="preserve">profiles.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share and substitution parameters in the CES tree are calibrated to minimize the deviation from the target own-price and cross-price demand elasticities; see tables. In addition to the elasticities for annual energy goods discussed extensively above, the target cross-price elasticities in each season between electricity in the two periods of the 24-hour cycle are set at 0.2, and the target cross-price elasticities between summer and winter are set at zero. </w:t>
      </w:r>
    </w:p>
    <w:p w:rsidR="00EA0538" w:rsidRDefault="00EA0538" w:rsidP="00EA0538">
      <w:pPr>
        <w:pStyle w:val="CommentTex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With respect to coal only sources for aggregated elasticities have been identified. However, assuming that these are much easier to substitute in final demand seems reasonable and the target cross price elasticities have been set at 1.5 between coking coal, lignite and steam coal.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In the short-run model, the “endowment” parameters in the CES tree are set to zero. In the long-run model, the “endowment” parameter for each good is calculated so as to set the income elasticity at the target value specified above, at the same time recalibrating the share and substitution parameters with the same procedure as in the short –run model. If the model is run with a medium-term perspective of e.g. 10 or 15 years, the target elasticities are set midway between the short-run and the original long-run target elasticities. </w:t>
      </w:r>
    </w:p>
    <w:p w:rsidR="00EA0538" w:rsidRPr="00085FA6" w:rsidRDefault="00EA0538" w:rsidP="00EA0538">
      <w:pPr>
        <w:jc w:val="both"/>
        <w:rPr>
          <w:rFonts w:ascii="Times New Roman" w:hAnsi="Times New Roman" w:cs="Times New Roman"/>
          <w:lang w:val="en-GB"/>
        </w:rPr>
      </w:pPr>
    </w:p>
    <w:p w:rsidR="00EA0538" w:rsidRPr="00085FA6" w:rsidRDefault="00EA0538" w:rsidP="00EA0538">
      <w:pPr>
        <w:pStyle w:val="Heading3"/>
        <w:jc w:val="both"/>
        <w:rPr>
          <w:rFonts w:ascii="Times New Roman" w:hAnsi="Times New Roman" w:cs="Times New Roman"/>
          <w:lang w:val="en-GB"/>
        </w:rPr>
      </w:pPr>
      <w:bookmarkStart w:id="8" w:name="_Toc386631721"/>
      <w:r w:rsidRPr="00085FA6">
        <w:rPr>
          <w:rFonts w:ascii="Times New Roman" w:hAnsi="Times New Roman" w:cs="Times New Roman"/>
          <w:lang w:val="en-GB"/>
        </w:rPr>
        <w:t>3.1.</w:t>
      </w:r>
      <w:r>
        <w:rPr>
          <w:rFonts w:ascii="Times New Roman" w:hAnsi="Times New Roman" w:cs="Times New Roman"/>
          <w:lang w:val="en-GB"/>
        </w:rPr>
        <w:t>8</w:t>
      </w:r>
      <w:r w:rsidRPr="00085FA6">
        <w:rPr>
          <w:rFonts w:ascii="Times New Roman" w:hAnsi="Times New Roman" w:cs="Times New Roman"/>
          <w:lang w:val="en-GB"/>
        </w:rPr>
        <w:t xml:space="preserve"> Demand for energy in non-model countries</w:t>
      </w:r>
      <w:bookmarkEnd w:id="8"/>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exogenous countries (Algeria, Belarus, Russia,</w:t>
      </w:r>
      <w:r w:rsidRPr="00085FA6">
        <w:rPr>
          <w:rStyle w:val="FootnoteReference"/>
          <w:rFonts w:ascii="Times New Roman" w:hAnsi="Times New Roman" w:cs="Times New Roman"/>
          <w:lang w:val="en-GB"/>
        </w:rPr>
        <w:footnoteReference w:id="11"/>
      </w:r>
      <w:r w:rsidRPr="00085FA6">
        <w:rPr>
          <w:rFonts w:ascii="Times New Roman" w:hAnsi="Times New Roman" w:cs="Times New Roman"/>
          <w:lang w:val="en-GB"/>
        </w:rPr>
        <w:t xml:space="preserve"> Ukraine, YU and ROW) have demand for coal, oil and gas to complete the global fossil fuel balances. For steam coal and coking coal the short- and long-run demand elasticities for exogenous countries are set to half of Dahl’s European average. This reflects that the coal markets are less integrated than the oil markets. </w:t>
      </w:r>
      <w:r w:rsidRPr="00085FA6">
        <w:rPr>
          <w:rFonts w:ascii="Times New Roman" w:eastAsia="SimSun" w:hAnsi="Times New Roman" w:cs="Times New Roman"/>
          <w:lang w:val="en-GB"/>
        </w:rPr>
        <w:t xml:space="preserve">For oil the elasticities are set to 2/3 of the European average. </w:t>
      </w:r>
      <w:r w:rsidRPr="00085FA6">
        <w:rPr>
          <w:rFonts w:ascii="Times New Roman" w:hAnsi="Times New Roman" w:cs="Times New Roman"/>
          <w:lang w:val="en-GB"/>
        </w:rPr>
        <w:t xml:space="preserve"> For gas it is set to half of the European average, except for demand from the rest of the world (ROW) which is modelled separately (see chapter 2.1). </w:t>
      </w:r>
    </w:p>
    <w:p w:rsidR="00EA0538" w:rsidRPr="00085FA6" w:rsidRDefault="00EA0538" w:rsidP="00EA0538">
      <w:pPr>
        <w:pStyle w:val="Heading2"/>
        <w:jc w:val="both"/>
        <w:rPr>
          <w:rFonts w:ascii="Times New Roman" w:hAnsi="Times New Roman" w:cs="Times New Roman"/>
          <w:lang w:val="en-GB"/>
        </w:rPr>
      </w:pPr>
      <w:bookmarkStart w:id="9" w:name="_Toc386631722"/>
      <w:r w:rsidRPr="00085FA6">
        <w:rPr>
          <w:rFonts w:ascii="Times New Roman" w:hAnsi="Times New Roman" w:cs="Times New Roman"/>
          <w:lang w:val="en-GB"/>
        </w:rPr>
        <w:t>3.2. Supply</w:t>
      </w:r>
      <w:bookmarkEnd w:id="9"/>
      <w:r w:rsidRPr="00085FA6">
        <w:rPr>
          <w:rFonts w:ascii="Times New Roman" w:hAnsi="Times New Roman" w:cs="Times New Roman"/>
          <w:lang w:val="en-GB"/>
        </w:rPr>
        <w:t xml:space="preserve"> </w:t>
      </w:r>
    </w:p>
    <w:p w:rsidR="00EA0538" w:rsidRPr="00085FA6" w:rsidRDefault="00EA0538" w:rsidP="00EA0538">
      <w:pPr>
        <w:jc w:val="both"/>
        <w:rPr>
          <w:rFonts w:ascii="Times New Roman" w:eastAsia="SimSun" w:hAnsi="Times New Roman" w:cs="Times New Roman"/>
          <w:lang w:val="en-GB"/>
        </w:rPr>
      </w:pPr>
      <w:r>
        <w:rPr>
          <w:rFonts w:ascii="Times New Roman" w:eastAsia="SimSun" w:hAnsi="Times New Roman" w:cs="Times New Roman"/>
          <w:lang w:val="en-GB"/>
        </w:rPr>
        <w:t>T</w:t>
      </w:r>
      <w:r w:rsidRPr="00085FA6">
        <w:rPr>
          <w:rFonts w:ascii="Times New Roman" w:eastAsia="SimSun" w:hAnsi="Times New Roman" w:cs="Times New Roman"/>
          <w:lang w:val="en-GB"/>
        </w:rPr>
        <w:t xml:space="preserve">he inverse supply function P = </w:t>
      </w:r>
      <w:proofErr w:type="spellStart"/>
      <w:r w:rsidRPr="00085FA6">
        <w:rPr>
          <w:rFonts w:ascii="Times New Roman" w:eastAsia="SimSun" w:hAnsi="Times New Roman" w:cs="Times New Roman"/>
          <w:lang w:val="en-GB"/>
        </w:rPr>
        <w:t>Ae</w:t>
      </w:r>
      <w:r w:rsidRPr="00085FA6">
        <w:rPr>
          <w:rFonts w:ascii="Times New Roman" w:eastAsia="SimSun" w:hAnsi="Times New Roman" w:cs="Times New Roman"/>
          <w:vertAlign w:val="superscript"/>
          <w:lang w:val="en-GB"/>
        </w:rPr>
        <w:t>B</w:t>
      </w:r>
      <w:proofErr w:type="spellEnd"/>
      <w:r w:rsidRPr="00085FA6">
        <w:rPr>
          <w:rFonts w:ascii="Times New Roman" w:eastAsia="SimSun" w:hAnsi="Times New Roman" w:cs="Times New Roman"/>
          <w:vertAlign w:val="superscript"/>
          <w:lang w:val="en-GB"/>
        </w:rPr>
        <w:t>(t)S</w:t>
      </w:r>
      <w:r w:rsidRPr="00085FA6">
        <w:rPr>
          <w:rFonts w:ascii="Times New Roman" w:eastAsia="SimSun" w:hAnsi="Times New Roman" w:cs="Times New Roman"/>
          <w:lang w:val="en-GB"/>
        </w:rPr>
        <w:t xml:space="preserve">+D(t)S </w:t>
      </w:r>
      <w:r>
        <w:rPr>
          <w:rFonts w:ascii="Times New Roman" w:eastAsia="SimSun" w:hAnsi="Times New Roman" w:cs="Times New Roman"/>
          <w:lang w:val="en-GB"/>
        </w:rPr>
        <w:t xml:space="preserve">is used </w:t>
      </w:r>
      <w:r w:rsidRPr="00085FA6">
        <w:rPr>
          <w:rFonts w:ascii="Times New Roman" w:eastAsia="SimSun" w:hAnsi="Times New Roman" w:cs="Times New Roman"/>
          <w:lang w:val="en-GB"/>
        </w:rPr>
        <w:t>for coal, oil, gas, biofuels and biomass</w:t>
      </w:r>
      <w:r>
        <w:rPr>
          <w:rFonts w:ascii="Times New Roman" w:eastAsia="SimSun" w:hAnsi="Times New Roman" w:cs="Times New Roman"/>
          <w:lang w:val="en-GB"/>
        </w:rPr>
        <w:t>,</w:t>
      </w:r>
      <w:r w:rsidRPr="00085FA6">
        <w:rPr>
          <w:rFonts w:ascii="Times New Roman" w:eastAsia="SimSun" w:hAnsi="Times New Roman" w:cs="Times New Roman"/>
          <w:lang w:val="en-GB"/>
        </w:rPr>
        <w:t xml:space="preserve"> where P is the price, S is supply and A, B(t) and D(t) are parameters. Note that </w:t>
      </w:r>
      <w:proofErr w:type="gramStart"/>
      <w:r w:rsidRPr="00085FA6">
        <w:rPr>
          <w:rFonts w:ascii="Times New Roman" w:eastAsia="SimSun" w:hAnsi="Times New Roman" w:cs="Times New Roman"/>
          <w:lang w:val="en-GB"/>
        </w:rPr>
        <w:t>B(</w:t>
      </w:r>
      <w:proofErr w:type="gramEnd"/>
      <w:r w:rsidRPr="00085FA6">
        <w:rPr>
          <w:rFonts w:ascii="Times New Roman" w:eastAsia="SimSun" w:hAnsi="Times New Roman" w:cs="Times New Roman"/>
          <w:lang w:val="en-GB"/>
        </w:rPr>
        <w:t>t) and D(t) may be time dependent. In general the parameters differ across countries, but A is the same for all countries</w:t>
      </w:r>
      <w:r>
        <w:rPr>
          <w:rFonts w:ascii="Times New Roman" w:eastAsia="SimSun" w:hAnsi="Times New Roman" w:cs="Times New Roman"/>
          <w:lang w:val="en-GB"/>
        </w:rPr>
        <w:t xml:space="preserve"> (the only</w:t>
      </w:r>
      <w:r w:rsidRPr="00085FA6">
        <w:rPr>
          <w:rFonts w:ascii="Times New Roman" w:eastAsia="SimSun" w:hAnsi="Times New Roman" w:cs="Times New Roman"/>
          <w:lang w:val="en-GB"/>
        </w:rPr>
        <w:t xml:space="preserve"> except</w:t>
      </w:r>
      <w:r>
        <w:rPr>
          <w:rFonts w:ascii="Times New Roman" w:eastAsia="SimSun" w:hAnsi="Times New Roman" w:cs="Times New Roman"/>
          <w:lang w:val="en-GB"/>
        </w:rPr>
        <w:t>ion is</w:t>
      </w:r>
      <w:r w:rsidRPr="00085FA6">
        <w:rPr>
          <w:rFonts w:ascii="Times New Roman" w:eastAsia="SimSun" w:hAnsi="Times New Roman" w:cs="Times New Roman"/>
          <w:lang w:val="en-GB"/>
        </w:rPr>
        <w:t xml:space="preserve"> biomass</w:t>
      </w:r>
      <w:r>
        <w:rPr>
          <w:rFonts w:ascii="Times New Roman" w:eastAsia="SimSun" w:hAnsi="Times New Roman" w:cs="Times New Roman"/>
          <w:lang w:val="en-GB"/>
        </w:rPr>
        <w:t xml:space="preserve"> where A is country specific)</w:t>
      </w:r>
      <w:r w:rsidRPr="00085FA6">
        <w:rPr>
          <w:rFonts w:ascii="Times New Roman" w:eastAsia="SimSun" w:hAnsi="Times New Roman" w:cs="Times New Roman"/>
          <w:lang w:val="en-GB"/>
        </w:rPr>
        <w:t xml:space="preserve">. The magnitude of </w:t>
      </w:r>
      <w:proofErr w:type="gramStart"/>
      <w:r w:rsidRPr="00085FA6">
        <w:rPr>
          <w:rFonts w:ascii="Times New Roman" w:eastAsia="SimSun" w:hAnsi="Times New Roman" w:cs="Times New Roman"/>
          <w:lang w:val="en-GB"/>
        </w:rPr>
        <w:t>B(</w:t>
      </w:r>
      <w:proofErr w:type="gramEnd"/>
      <w:r w:rsidRPr="00085FA6">
        <w:rPr>
          <w:rFonts w:ascii="Times New Roman" w:eastAsia="SimSun" w:hAnsi="Times New Roman" w:cs="Times New Roman"/>
          <w:lang w:val="en-GB"/>
        </w:rPr>
        <w:t xml:space="preserve">t) and D(t) generally reflects how quickly marginal costs rise as output increase. </w:t>
      </w:r>
      <w:r w:rsidRPr="00085FA6">
        <w:rPr>
          <w:rFonts w:ascii="Times New Roman" w:eastAsia="SimSun" w:hAnsi="Times New Roman" w:cs="Times New Roman"/>
          <w:lang w:val="en-GB"/>
        </w:rPr>
        <w:br/>
      </w:r>
    </w:p>
    <w:p w:rsidR="00EA0538" w:rsidRPr="00EA0538" w:rsidRDefault="00EA0538" w:rsidP="00EA0538">
      <w:pPr>
        <w:pStyle w:val="Heading3"/>
        <w:jc w:val="both"/>
        <w:rPr>
          <w:rStyle w:val="Heading3Char"/>
          <w:rFonts w:ascii="Times New Roman" w:hAnsi="Times New Roman" w:cs="Times New Roman"/>
          <w:b/>
          <w:lang w:val="en-US"/>
        </w:rPr>
      </w:pPr>
      <w:bookmarkStart w:id="10" w:name="_Toc386631723"/>
      <w:r w:rsidRPr="00EA0538">
        <w:rPr>
          <w:rStyle w:val="Heading3Char"/>
          <w:rFonts w:ascii="Times New Roman" w:hAnsi="Times New Roman" w:cs="Times New Roman"/>
          <w:b/>
          <w:lang w:val="en-US"/>
        </w:rPr>
        <w:t>3.2.1 Supply of fuels</w:t>
      </w:r>
      <w:bookmarkEnd w:id="10"/>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 xml:space="preserve">The base year supply of </w:t>
      </w:r>
      <w:r w:rsidRPr="00085FA6">
        <w:rPr>
          <w:rFonts w:ascii="Times New Roman" w:eastAsia="SimSun" w:hAnsi="Times New Roman" w:cs="Times New Roman"/>
          <w:i/>
          <w:lang w:val="en-GB"/>
        </w:rPr>
        <w:t>oil</w:t>
      </w:r>
      <w:r w:rsidRPr="00085FA6">
        <w:rPr>
          <w:rFonts w:ascii="Times New Roman" w:eastAsia="SimSun" w:hAnsi="Times New Roman" w:cs="Times New Roman"/>
          <w:lang w:val="en-GB"/>
        </w:rPr>
        <w:t xml:space="preserve"> is taken from the IEA Extended Energy Balances database. This database has data for all the model countries. </w:t>
      </w:r>
      <w:r>
        <w:rPr>
          <w:rFonts w:ascii="Times New Roman" w:eastAsia="SimSun" w:hAnsi="Times New Roman" w:cs="Times New Roman"/>
          <w:lang w:val="en-GB"/>
        </w:rPr>
        <w:t>The</w:t>
      </w:r>
      <w:r w:rsidRPr="00085FA6">
        <w:rPr>
          <w:rFonts w:ascii="Times New Roman" w:eastAsia="SimSun" w:hAnsi="Times New Roman" w:cs="Times New Roman"/>
          <w:lang w:val="en-GB"/>
        </w:rPr>
        <w:t xml:space="preserve"> production of crude oil (the sum of crude oil, natural gas liquids, refinery feedstock, additives</w:t>
      </w:r>
      <w:r>
        <w:rPr>
          <w:rFonts w:ascii="Times New Roman" w:eastAsia="SimSun" w:hAnsi="Times New Roman" w:cs="Times New Roman"/>
          <w:lang w:val="en-GB"/>
        </w:rPr>
        <w:t xml:space="preserve"> and</w:t>
      </w:r>
      <w:r w:rsidRPr="00085FA6">
        <w:rPr>
          <w:rFonts w:ascii="Times New Roman" w:eastAsia="SimSun" w:hAnsi="Times New Roman" w:cs="Times New Roman"/>
          <w:lang w:val="en-GB"/>
        </w:rPr>
        <w:t xml:space="preserve"> other hydrocarbons, as classified by the IEA), minus the “own use” (which is the “oil and gas extraction” under “energy industry own use”)</w:t>
      </w:r>
      <w:r>
        <w:rPr>
          <w:rFonts w:ascii="Times New Roman" w:eastAsia="SimSun" w:hAnsi="Times New Roman" w:cs="Times New Roman"/>
          <w:lang w:val="en-GB"/>
        </w:rPr>
        <w:t xml:space="preserve"> is used</w:t>
      </w:r>
      <w:r w:rsidRPr="00085FA6">
        <w:rPr>
          <w:rFonts w:ascii="Times New Roman" w:eastAsia="SimSun" w:hAnsi="Times New Roman" w:cs="Times New Roman"/>
          <w:lang w:val="en-GB"/>
        </w:rPr>
        <w:t xml:space="preserve">. The inverse supply functions for oil are calibrated so that the supply elasticities in the base year are equal to 1 in the long run, whereas in the short run these are </w:t>
      </w:r>
      <w:r>
        <w:rPr>
          <w:rFonts w:ascii="Times New Roman" w:eastAsia="SimSun" w:hAnsi="Times New Roman" w:cs="Times New Roman"/>
          <w:lang w:val="en-GB"/>
        </w:rPr>
        <w:t>0.</w:t>
      </w:r>
      <w:r w:rsidRPr="00085FA6">
        <w:rPr>
          <w:rFonts w:ascii="Times New Roman" w:eastAsia="SimSun" w:hAnsi="Times New Roman" w:cs="Times New Roman"/>
          <w:lang w:val="en-GB"/>
        </w:rPr>
        <w:t xml:space="preserve">25. This applies to both model countries and exogenous countries. The parameters in the inverse supply functions are adjusted over time in accordance with projections from World Energy Outlook 2011 (IEA 2011).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w:t>
      </w:r>
      <w:r w:rsidRPr="00085FA6">
        <w:rPr>
          <w:rFonts w:ascii="Times New Roman" w:hAnsi="Times New Roman" w:cs="Times New Roman"/>
          <w:i/>
          <w:lang w:val="en-GB"/>
        </w:rPr>
        <w:t>coal</w:t>
      </w:r>
      <w:r w:rsidRPr="00085FA6">
        <w:rPr>
          <w:rFonts w:ascii="Times New Roman" w:hAnsi="Times New Roman" w:cs="Times New Roman"/>
          <w:lang w:val="en-GB"/>
        </w:rPr>
        <w:t xml:space="preserve"> supply is modelled separately for the three types of coal; steam coal, coking coal and lignite. The base year supply of coal for all model countries is taken from the IEA Extended Energy Balances database. Steam coal is the sum of anthracite, other bituminous coal and sub-bituminous coal, whereas lignite is the sum of lignite and peat. </w:t>
      </w:r>
      <w:r>
        <w:rPr>
          <w:rFonts w:ascii="Times New Roman" w:hAnsi="Times New Roman" w:cs="Times New Roman"/>
          <w:lang w:val="en-GB"/>
        </w:rPr>
        <w:t>The IEA</w:t>
      </w:r>
      <w:r w:rsidRPr="00085FA6">
        <w:rPr>
          <w:rFonts w:ascii="Times New Roman" w:hAnsi="Times New Roman" w:cs="Times New Roman"/>
          <w:lang w:val="en-GB"/>
        </w:rPr>
        <w:t xml:space="preserve"> implicitly </w:t>
      </w:r>
      <w:r>
        <w:rPr>
          <w:rFonts w:ascii="Times New Roman" w:hAnsi="Times New Roman" w:cs="Times New Roman"/>
          <w:lang w:val="en-GB"/>
        </w:rPr>
        <w:t>provide</w:t>
      </w:r>
      <w:r w:rsidRPr="00085FA6">
        <w:rPr>
          <w:rFonts w:ascii="Times New Roman" w:hAnsi="Times New Roman" w:cs="Times New Roman"/>
          <w:lang w:val="en-GB"/>
        </w:rPr>
        <w:t xml:space="preserve"> conversion factors from tons to toe </w:t>
      </w:r>
      <w:r>
        <w:rPr>
          <w:rFonts w:ascii="Times New Roman" w:hAnsi="Times New Roman" w:cs="Times New Roman"/>
          <w:lang w:val="en-GB"/>
        </w:rPr>
        <w:t xml:space="preserve">in their dataset of </w:t>
      </w:r>
      <w:r w:rsidRPr="00085FA6">
        <w:rPr>
          <w:rFonts w:ascii="Times New Roman" w:hAnsi="Times New Roman" w:cs="Times New Roman"/>
          <w:lang w:val="en-GB"/>
        </w:rPr>
        <w:t>prices (national currency/tonne and national currency/toe) in the Energy Prices and Taxes online database. These conversion factors reflect quality differences in the coal. For the countries without a price for steam coal and/or coking coal, the average conversion factors (based on the IEA data for other European countries)</w:t>
      </w:r>
      <w:r>
        <w:rPr>
          <w:rFonts w:ascii="Times New Roman" w:hAnsi="Times New Roman" w:cs="Times New Roman"/>
          <w:lang w:val="en-GB"/>
        </w:rPr>
        <w:t xml:space="preserve"> have been used</w:t>
      </w:r>
      <w:r w:rsidRPr="00085FA6">
        <w:rPr>
          <w:rFonts w:ascii="Times New Roman" w:hAnsi="Times New Roman" w:cs="Times New Roman"/>
          <w:lang w:val="en-GB"/>
        </w:rPr>
        <w:t>.</w:t>
      </w:r>
    </w:p>
    <w:p w:rsidR="00EA0538" w:rsidRPr="00085FA6" w:rsidRDefault="00EA0538" w:rsidP="00EA0538">
      <w:pPr>
        <w:jc w:val="both"/>
        <w:rPr>
          <w:rFonts w:ascii="Times New Roman" w:hAnsi="Times New Roman" w:cs="Times New Roman"/>
          <w:lang w:val="en-GB"/>
        </w:rPr>
      </w:pPr>
      <w:r w:rsidRPr="00085FA6">
        <w:rPr>
          <w:rFonts w:ascii="Times New Roman" w:eastAsia="SimSun" w:hAnsi="Times New Roman" w:cs="Times New Roman"/>
          <w:lang w:val="en-GB"/>
        </w:rPr>
        <w:lastRenderedPageBreak/>
        <w:t>The inverse supply functions for coal are calibrated in the same way as for oil, except that the targeted supply elasticity (for all coal types) is 2 in the long run and 0.5 in the short run. This applies to both model countries and exogenous countries. The assumed annual growth in coal production is based on projections from World Energy Outlook 2011 (IEA 2011).</w:t>
      </w:r>
      <w:r>
        <w:rPr>
          <w:rFonts w:ascii="Times New Roman" w:eastAsia="SimSun" w:hAnsi="Times New Roman" w:cs="Times New Roman"/>
          <w:lang w:val="en-GB"/>
        </w:rPr>
        <w:t xml:space="preserve"> </w:t>
      </w:r>
      <w:r w:rsidRPr="00085FA6">
        <w:rPr>
          <w:rFonts w:ascii="Times New Roman" w:hAnsi="Times New Roman" w:cs="Times New Roman"/>
          <w:lang w:val="en-GB"/>
        </w:rPr>
        <w:t xml:space="preserve">For lignite it is assumed that production declines with 4 % a year for all model countries. This is based on the “New Policies Scenario” in World Energy Outlook 2012 (IEA 2012) for coal production in the EU towards 2035 (table 5.6, p. 168). From 1990 to 2010 there has been an annual decline of 1.4 % for lignite production. Out of the three coal types (steam coal, coking coal and lignite) the IEA expects lignite production to fall the most towards 2035 in all their three scenarios. </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 xml:space="preserve">The base year supply data for </w:t>
      </w:r>
      <w:r w:rsidRPr="00085FA6">
        <w:rPr>
          <w:rFonts w:ascii="Times New Roman" w:eastAsia="SimSun" w:hAnsi="Times New Roman" w:cs="Times New Roman"/>
          <w:i/>
          <w:lang w:val="en-GB"/>
        </w:rPr>
        <w:t>natural gas</w:t>
      </w:r>
      <w:r w:rsidRPr="00085FA6">
        <w:rPr>
          <w:rFonts w:ascii="Times New Roman" w:eastAsia="SimSun" w:hAnsi="Times New Roman" w:cs="Times New Roman"/>
          <w:lang w:val="en-GB"/>
        </w:rPr>
        <w:t xml:space="preserve"> is taken from the IEA Extended Energy Balances database.</w:t>
      </w:r>
      <w:r w:rsidRPr="00085FA6">
        <w:rPr>
          <w:rFonts w:ascii="Times New Roman" w:eastAsia="SimSun" w:hAnsi="Times New Roman" w:cs="Times New Roman"/>
          <w:color w:val="FF0000"/>
          <w:lang w:val="en-GB"/>
        </w:rPr>
        <w:t xml:space="preserve"> </w:t>
      </w:r>
      <w:r>
        <w:rPr>
          <w:rFonts w:ascii="Times New Roman" w:eastAsia="SimSun" w:hAnsi="Times New Roman" w:cs="Times New Roman"/>
          <w:lang w:val="en-GB"/>
        </w:rPr>
        <w:t>In the model there is a</w:t>
      </w:r>
      <w:r w:rsidRPr="00085FA6">
        <w:rPr>
          <w:rFonts w:ascii="Times New Roman" w:eastAsia="SimSun" w:hAnsi="Times New Roman" w:cs="Times New Roman"/>
          <w:lang w:val="en-GB"/>
        </w:rPr>
        <w:t xml:space="preserve"> differentiat</w:t>
      </w:r>
      <w:r>
        <w:rPr>
          <w:rFonts w:ascii="Times New Roman" w:eastAsia="SimSun" w:hAnsi="Times New Roman" w:cs="Times New Roman"/>
          <w:lang w:val="en-GB"/>
        </w:rPr>
        <w:t>ion made</w:t>
      </w:r>
      <w:r w:rsidRPr="00085FA6">
        <w:rPr>
          <w:rFonts w:ascii="Times New Roman" w:eastAsia="SimSun" w:hAnsi="Times New Roman" w:cs="Times New Roman"/>
          <w:lang w:val="en-GB"/>
        </w:rPr>
        <w:t xml:space="preserve"> between countries that are large gas suppliers to Europe (Russia, Norway, Netherlands, Algeria and the UK), and the remaining countries. </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 xml:space="preserve">For the five large gas suppliers the future supply </w:t>
      </w:r>
      <w:r>
        <w:rPr>
          <w:rFonts w:ascii="Times New Roman" w:eastAsia="SimSun" w:hAnsi="Times New Roman" w:cs="Times New Roman"/>
          <w:lang w:val="en-GB"/>
        </w:rPr>
        <w:t>is split into</w:t>
      </w:r>
      <w:r w:rsidRPr="00085FA6">
        <w:rPr>
          <w:rFonts w:ascii="Times New Roman" w:eastAsia="SimSun" w:hAnsi="Times New Roman" w:cs="Times New Roman"/>
          <w:lang w:val="en-GB"/>
        </w:rPr>
        <w:t xml:space="preserve"> “existing fields”, which consists of fields that were in operation in the base year, and “new fields”. To distinguish between existing and new fields, </w:t>
      </w:r>
      <w:r>
        <w:rPr>
          <w:rFonts w:ascii="Times New Roman" w:eastAsia="SimSun" w:hAnsi="Times New Roman" w:cs="Times New Roman"/>
          <w:lang w:val="en-GB"/>
        </w:rPr>
        <w:t xml:space="preserve">unofficial data </w:t>
      </w:r>
      <w:r w:rsidRPr="00085FA6">
        <w:rPr>
          <w:rFonts w:ascii="Times New Roman" w:eastAsia="SimSun" w:hAnsi="Times New Roman" w:cs="Times New Roman"/>
          <w:lang w:val="en-GB"/>
        </w:rPr>
        <w:t xml:space="preserve">from </w:t>
      </w:r>
      <w:proofErr w:type="spellStart"/>
      <w:r w:rsidRPr="00085FA6">
        <w:rPr>
          <w:rFonts w:ascii="Times New Roman" w:eastAsia="SimSun" w:hAnsi="Times New Roman" w:cs="Times New Roman"/>
          <w:lang w:val="en-GB"/>
        </w:rPr>
        <w:t>Rystad</w:t>
      </w:r>
      <w:proofErr w:type="spellEnd"/>
      <w:r w:rsidRPr="00085FA6">
        <w:rPr>
          <w:rFonts w:ascii="Times New Roman" w:eastAsia="SimSun" w:hAnsi="Times New Roman" w:cs="Times New Roman"/>
          <w:lang w:val="en-GB"/>
        </w:rPr>
        <w:t xml:space="preserve"> Energy</w:t>
      </w:r>
      <w:r>
        <w:rPr>
          <w:rFonts w:ascii="Times New Roman" w:eastAsia="SimSun" w:hAnsi="Times New Roman" w:cs="Times New Roman"/>
          <w:lang w:val="en-GB"/>
        </w:rPr>
        <w:t xml:space="preserve"> has been used</w:t>
      </w:r>
      <w:r w:rsidRPr="00085FA6">
        <w:rPr>
          <w:rFonts w:ascii="Times New Roman" w:eastAsia="SimSun" w:hAnsi="Times New Roman" w:cs="Times New Roman"/>
          <w:lang w:val="en-GB"/>
        </w:rPr>
        <w:t>.</w:t>
      </w:r>
      <w:r w:rsidRPr="00085FA6">
        <w:rPr>
          <w:rFonts w:ascii="Times New Roman" w:eastAsia="SimSun" w:hAnsi="Times New Roman" w:cs="Times New Roman"/>
          <w:color w:val="FF0000"/>
          <w:lang w:val="en-GB"/>
        </w:rPr>
        <w:t xml:space="preserve"> </w:t>
      </w:r>
      <w:r w:rsidRPr="00085FA6">
        <w:rPr>
          <w:rFonts w:ascii="Times New Roman" w:eastAsia="SimSun" w:hAnsi="Times New Roman" w:cs="Times New Roman"/>
          <w:lang w:val="en-GB"/>
        </w:rPr>
        <w:t xml:space="preserve">For the “existing fields”, an inverse supply function </w:t>
      </w:r>
      <w:r>
        <w:rPr>
          <w:rFonts w:ascii="Times New Roman" w:eastAsia="SimSun" w:hAnsi="Times New Roman" w:cs="Times New Roman"/>
          <w:lang w:val="en-GB"/>
        </w:rPr>
        <w:t xml:space="preserve">is calibrated </w:t>
      </w:r>
      <w:r w:rsidRPr="00085FA6">
        <w:rPr>
          <w:rFonts w:ascii="Times New Roman" w:eastAsia="SimSun" w:hAnsi="Times New Roman" w:cs="Times New Roman"/>
          <w:lang w:val="en-GB"/>
        </w:rPr>
        <w:t xml:space="preserve">setting </w:t>
      </w:r>
      <w:proofErr w:type="gramStart"/>
      <w:r w:rsidRPr="00085FA6">
        <w:rPr>
          <w:rFonts w:ascii="Times New Roman" w:eastAsia="SimSun" w:hAnsi="Times New Roman" w:cs="Times New Roman"/>
          <w:lang w:val="en-GB"/>
        </w:rPr>
        <w:t>D(</w:t>
      </w:r>
      <w:proofErr w:type="gramEnd"/>
      <w:r w:rsidRPr="00085FA6">
        <w:rPr>
          <w:rFonts w:ascii="Times New Roman" w:eastAsia="SimSun" w:hAnsi="Times New Roman" w:cs="Times New Roman"/>
          <w:lang w:val="en-GB"/>
        </w:rPr>
        <w:t xml:space="preserve">t) = 0. The parameter </w:t>
      </w:r>
      <w:proofErr w:type="gramStart"/>
      <w:r w:rsidRPr="00085FA6">
        <w:rPr>
          <w:rFonts w:ascii="Times New Roman" w:eastAsia="SimSun" w:hAnsi="Times New Roman" w:cs="Times New Roman"/>
          <w:lang w:val="en-GB"/>
        </w:rPr>
        <w:t>B(</w:t>
      </w:r>
      <w:proofErr w:type="gramEnd"/>
      <w:r w:rsidRPr="00085FA6">
        <w:rPr>
          <w:rFonts w:ascii="Times New Roman" w:eastAsia="SimSun" w:hAnsi="Times New Roman" w:cs="Times New Roman"/>
          <w:lang w:val="en-GB"/>
        </w:rPr>
        <w:t xml:space="preserve">t) is changed over time reflecting projected depreciation rates according to the data from </w:t>
      </w:r>
      <w:proofErr w:type="spellStart"/>
      <w:r w:rsidRPr="00085FA6">
        <w:rPr>
          <w:rFonts w:ascii="Times New Roman" w:eastAsia="SimSun" w:hAnsi="Times New Roman" w:cs="Times New Roman"/>
          <w:lang w:val="en-GB"/>
        </w:rPr>
        <w:t>Rystad</w:t>
      </w:r>
      <w:proofErr w:type="spellEnd"/>
      <w:r w:rsidRPr="00085FA6">
        <w:rPr>
          <w:rFonts w:ascii="Times New Roman" w:eastAsia="SimSun" w:hAnsi="Times New Roman" w:cs="Times New Roman"/>
          <w:lang w:val="en-GB"/>
        </w:rPr>
        <w:t xml:space="preserve"> Energy. For the new fields, inverse supply functions </w:t>
      </w:r>
      <w:r>
        <w:rPr>
          <w:rFonts w:ascii="Times New Roman" w:eastAsia="SimSun" w:hAnsi="Times New Roman" w:cs="Times New Roman"/>
          <w:lang w:val="en-GB"/>
        </w:rPr>
        <w:t>are calibrated (</w:t>
      </w:r>
      <w:r w:rsidRPr="00085FA6">
        <w:rPr>
          <w:rFonts w:ascii="Times New Roman" w:eastAsia="SimSun" w:hAnsi="Times New Roman" w:cs="Times New Roman"/>
          <w:lang w:val="en-GB"/>
        </w:rPr>
        <w:t>th</w:t>
      </w:r>
      <w:r>
        <w:rPr>
          <w:rFonts w:ascii="Times New Roman" w:eastAsia="SimSun" w:hAnsi="Times New Roman" w:cs="Times New Roman"/>
          <w:lang w:val="en-GB"/>
        </w:rPr>
        <w:t>ese</w:t>
      </w:r>
      <w:r w:rsidRPr="00085FA6">
        <w:rPr>
          <w:rFonts w:ascii="Times New Roman" w:eastAsia="SimSun" w:hAnsi="Times New Roman" w:cs="Times New Roman"/>
          <w:lang w:val="en-GB"/>
        </w:rPr>
        <w:t xml:space="preserve"> also vary over time</w:t>
      </w:r>
      <w:r>
        <w:rPr>
          <w:rFonts w:ascii="Times New Roman" w:eastAsia="SimSun" w:hAnsi="Times New Roman" w:cs="Times New Roman"/>
          <w:lang w:val="en-GB"/>
        </w:rPr>
        <w:t>)</w:t>
      </w:r>
      <w:r w:rsidRPr="00085FA6">
        <w:rPr>
          <w:rFonts w:ascii="Times New Roman" w:eastAsia="SimSun" w:hAnsi="Times New Roman" w:cs="Times New Roman"/>
          <w:lang w:val="en-GB"/>
        </w:rPr>
        <w:t xml:space="preserve">, again based on the data from </w:t>
      </w:r>
      <w:proofErr w:type="spellStart"/>
      <w:r w:rsidRPr="00085FA6">
        <w:rPr>
          <w:rFonts w:ascii="Times New Roman" w:eastAsia="SimSun" w:hAnsi="Times New Roman" w:cs="Times New Roman"/>
          <w:lang w:val="en-GB"/>
        </w:rPr>
        <w:t>Rystad</w:t>
      </w:r>
      <w:proofErr w:type="spellEnd"/>
      <w:r w:rsidRPr="00085FA6">
        <w:rPr>
          <w:rFonts w:ascii="Times New Roman" w:eastAsia="SimSun" w:hAnsi="Times New Roman" w:cs="Times New Roman"/>
          <w:lang w:val="en-GB"/>
        </w:rPr>
        <w:t xml:space="preserve"> Energy.  </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For the remaining model countries the inverse supply function</w:t>
      </w:r>
      <w:r>
        <w:rPr>
          <w:rFonts w:ascii="Times New Roman" w:eastAsia="SimSun" w:hAnsi="Times New Roman" w:cs="Times New Roman"/>
          <w:lang w:val="en-GB"/>
        </w:rPr>
        <w:t>s are calibrated</w:t>
      </w:r>
      <w:r w:rsidRPr="00085FA6">
        <w:rPr>
          <w:rFonts w:ascii="Times New Roman" w:eastAsia="SimSun" w:hAnsi="Times New Roman" w:cs="Times New Roman"/>
          <w:lang w:val="en-GB"/>
        </w:rPr>
        <w:t xml:space="preserve"> based on the market equilibrium in 2009, where a common gas price (P) of 280 $/</w:t>
      </w:r>
      <w:proofErr w:type="spellStart"/>
      <w:r w:rsidRPr="00085FA6">
        <w:rPr>
          <w:rFonts w:ascii="Times New Roman" w:eastAsia="SimSun" w:hAnsi="Times New Roman" w:cs="Times New Roman"/>
          <w:lang w:val="en-GB"/>
        </w:rPr>
        <w:t>toe</w:t>
      </w:r>
      <w:proofErr w:type="spellEnd"/>
      <w:r w:rsidRPr="00085FA6">
        <w:rPr>
          <w:rFonts w:ascii="Times New Roman" w:eastAsia="SimSun" w:hAnsi="Times New Roman" w:cs="Times New Roman"/>
          <w:lang w:val="en-GB"/>
        </w:rPr>
        <w:t xml:space="preserve"> (7 $/</w:t>
      </w:r>
      <w:proofErr w:type="spellStart"/>
      <w:r w:rsidRPr="00085FA6">
        <w:rPr>
          <w:rFonts w:ascii="Times New Roman" w:eastAsia="SimSun" w:hAnsi="Times New Roman" w:cs="Times New Roman"/>
          <w:lang w:val="en-GB"/>
        </w:rPr>
        <w:t>Mbtu</w:t>
      </w:r>
      <w:proofErr w:type="spellEnd"/>
      <w:r w:rsidRPr="00085FA6">
        <w:rPr>
          <w:rFonts w:ascii="Times New Roman" w:eastAsia="SimSun" w:hAnsi="Times New Roman" w:cs="Times New Roman"/>
          <w:lang w:val="en-GB"/>
        </w:rPr>
        <w:t>)</w:t>
      </w:r>
      <w:r>
        <w:rPr>
          <w:rFonts w:ascii="Times New Roman" w:eastAsia="SimSun" w:hAnsi="Times New Roman" w:cs="Times New Roman"/>
          <w:lang w:val="en-GB"/>
        </w:rPr>
        <w:t xml:space="preserve"> is assumed</w:t>
      </w:r>
      <w:r w:rsidRPr="00085FA6">
        <w:rPr>
          <w:rFonts w:ascii="Times New Roman" w:eastAsia="SimSun" w:hAnsi="Times New Roman" w:cs="Times New Roman"/>
          <w:lang w:val="en-GB"/>
        </w:rPr>
        <w:t>. This price is just below the average CIF price in the EU in 2009 (which was 8.5 $/</w:t>
      </w:r>
      <w:proofErr w:type="spellStart"/>
      <w:r w:rsidRPr="00085FA6">
        <w:rPr>
          <w:rFonts w:ascii="Times New Roman" w:eastAsia="SimSun" w:hAnsi="Times New Roman" w:cs="Times New Roman"/>
          <w:lang w:val="en-GB"/>
        </w:rPr>
        <w:t>Mbtu</w:t>
      </w:r>
      <w:proofErr w:type="spellEnd"/>
      <w:r w:rsidRPr="00085FA6">
        <w:rPr>
          <w:rFonts w:ascii="Times New Roman" w:eastAsia="SimSun" w:hAnsi="Times New Roman" w:cs="Times New Roman"/>
          <w:lang w:val="en-GB"/>
        </w:rPr>
        <w:t xml:space="preserve">), and also lower than the price in all years between 2006 -2010, but above the prices in all years prior to 2006. </w:t>
      </w:r>
      <w:r>
        <w:rPr>
          <w:rFonts w:ascii="Times New Roman" w:eastAsia="SimSun" w:hAnsi="Times New Roman" w:cs="Times New Roman"/>
          <w:lang w:val="en-GB"/>
        </w:rPr>
        <w:t>The</w:t>
      </w:r>
      <w:r w:rsidRPr="00085FA6">
        <w:rPr>
          <w:rFonts w:ascii="Times New Roman" w:eastAsia="SimSun" w:hAnsi="Times New Roman" w:cs="Times New Roman"/>
          <w:lang w:val="en-GB"/>
        </w:rPr>
        <w:t xml:space="preserve"> supply elasticity in the base year is </w:t>
      </w:r>
      <w:r>
        <w:rPr>
          <w:rFonts w:ascii="Times New Roman" w:eastAsia="SimSun" w:hAnsi="Times New Roman" w:cs="Times New Roman"/>
          <w:lang w:val="en-GB"/>
        </w:rPr>
        <w:t xml:space="preserve">set to </w:t>
      </w:r>
      <w:r w:rsidRPr="00085FA6">
        <w:rPr>
          <w:rFonts w:ascii="Times New Roman" w:eastAsia="SimSun" w:hAnsi="Times New Roman" w:cs="Times New Roman"/>
          <w:lang w:val="en-GB"/>
        </w:rPr>
        <w:t xml:space="preserve">0.75. This is lower than </w:t>
      </w:r>
      <w:r>
        <w:rPr>
          <w:rFonts w:ascii="Times New Roman" w:eastAsia="SimSun" w:hAnsi="Times New Roman" w:cs="Times New Roman"/>
          <w:lang w:val="en-GB"/>
        </w:rPr>
        <w:t xml:space="preserve">for </w:t>
      </w:r>
      <w:r w:rsidRPr="00085FA6">
        <w:rPr>
          <w:rFonts w:ascii="Times New Roman" w:eastAsia="SimSun" w:hAnsi="Times New Roman" w:cs="Times New Roman"/>
          <w:lang w:val="en-GB"/>
        </w:rPr>
        <w:t xml:space="preserve">oil, reflecting that gas is more dependent on infrastructure. </w:t>
      </w:r>
      <w:r>
        <w:rPr>
          <w:rFonts w:ascii="Times New Roman" w:eastAsia="SimSun" w:hAnsi="Times New Roman" w:cs="Times New Roman"/>
          <w:lang w:val="en-GB"/>
        </w:rPr>
        <w:t xml:space="preserve">For Poland supply of shale gas is phased in as of 2020. </w:t>
      </w:r>
    </w:p>
    <w:p w:rsidR="00EA0538" w:rsidRPr="00085FA6" w:rsidRDefault="00EA0538" w:rsidP="00EA0538">
      <w:pPr>
        <w:jc w:val="both"/>
        <w:rPr>
          <w:rFonts w:ascii="Times New Roman" w:eastAsia="SimSun" w:hAnsi="Times New Roman" w:cs="Times New Roman"/>
          <w:color w:val="FF0000"/>
          <w:lang w:val="en-GB"/>
        </w:rPr>
      </w:pPr>
      <w:r>
        <w:rPr>
          <w:rFonts w:ascii="Times New Roman" w:eastAsia="SimSun" w:hAnsi="Times New Roman" w:cs="Times New Roman"/>
          <w:lang w:val="en-GB"/>
        </w:rPr>
        <w:t>The b</w:t>
      </w:r>
      <w:r w:rsidRPr="00085FA6">
        <w:rPr>
          <w:rFonts w:ascii="Times New Roman" w:eastAsia="SimSun" w:hAnsi="Times New Roman" w:cs="Times New Roman"/>
          <w:lang w:val="en-GB"/>
        </w:rPr>
        <w:t xml:space="preserve">ase year supply of </w:t>
      </w:r>
      <w:r w:rsidRPr="00085FA6">
        <w:rPr>
          <w:rFonts w:ascii="Times New Roman" w:eastAsia="SimSun" w:hAnsi="Times New Roman" w:cs="Times New Roman"/>
          <w:i/>
          <w:lang w:val="en-GB"/>
        </w:rPr>
        <w:t>biofuels</w:t>
      </w:r>
      <w:r w:rsidRPr="00085FA6">
        <w:rPr>
          <w:rFonts w:ascii="Times New Roman" w:eastAsia="SimSun" w:hAnsi="Times New Roman" w:cs="Times New Roman"/>
          <w:lang w:val="en-GB"/>
        </w:rPr>
        <w:t xml:space="preserve"> for the model countries is taken from the IEA Extended Energy Balances database and is an aggregate of bioethanol and biodiesel. </w:t>
      </w:r>
      <w:r>
        <w:rPr>
          <w:rFonts w:ascii="Times New Roman" w:eastAsia="SimSun" w:hAnsi="Times New Roman" w:cs="Times New Roman"/>
          <w:lang w:val="en-GB"/>
        </w:rPr>
        <w:t>It is assumed that annual</w:t>
      </w:r>
      <w:r w:rsidRPr="00085FA6">
        <w:rPr>
          <w:rFonts w:ascii="Times New Roman" w:eastAsia="SimSun" w:hAnsi="Times New Roman" w:cs="Times New Roman"/>
          <w:lang w:val="en-GB"/>
        </w:rPr>
        <w:t xml:space="preserve"> biofuels supply </w:t>
      </w:r>
      <w:r>
        <w:rPr>
          <w:rFonts w:ascii="Times New Roman" w:eastAsia="SimSun" w:hAnsi="Times New Roman" w:cs="Times New Roman"/>
          <w:lang w:val="en-GB"/>
        </w:rPr>
        <w:t xml:space="preserve">has a growth rate </w:t>
      </w:r>
      <w:r w:rsidRPr="00085FA6">
        <w:rPr>
          <w:rFonts w:ascii="Times New Roman" w:eastAsia="SimSun" w:hAnsi="Times New Roman" w:cs="Times New Roman"/>
          <w:lang w:val="en-GB"/>
        </w:rPr>
        <w:t>of 2.2 %, again based on IEA (2011).</w:t>
      </w:r>
      <w:r w:rsidRPr="00085FA6">
        <w:rPr>
          <w:rFonts w:ascii="Times New Roman" w:eastAsia="SimSun" w:hAnsi="Times New Roman" w:cs="Times New Roman"/>
          <w:color w:val="FF0000"/>
          <w:lang w:val="en-GB"/>
        </w:rPr>
        <w:t xml:space="preserve"> </w:t>
      </w:r>
    </w:p>
    <w:p w:rsidR="00EA0538" w:rsidRPr="00085FA6" w:rsidRDefault="00EA0538" w:rsidP="00EA0538">
      <w:pPr>
        <w:jc w:val="both"/>
        <w:rPr>
          <w:rFonts w:ascii="Times New Roman" w:eastAsia="SimSun" w:hAnsi="Times New Roman" w:cs="Times New Roman"/>
          <w:lang w:val="en-GB"/>
        </w:rPr>
      </w:pPr>
      <w:r w:rsidRPr="00085FA6">
        <w:rPr>
          <w:rFonts w:ascii="Times New Roman" w:eastAsia="SimSun" w:hAnsi="Times New Roman" w:cs="Times New Roman"/>
          <w:lang w:val="en-GB"/>
        </w:rPr>
        <w:t xml:space="preserve">The supply of </w:t>
      </w:r>
      <w:r w:rsidRPr="00085FA6">
        <w:rPr>
          <w:rFonts w:ascii="Times New Roman" w:eastAsia="SimSun" w:hAnsi="Times New Roman" w:cs="Times New Roman"/>
          <w:i/>
          <w:lang w:val="en-GB"/>
        </w:rPr>
        <w:t xml:space="preserve">biomass </w:t>
      </w:r>
      <w:r w:rsidRPr="00085FA6">
        <w:rPr>
          <w:rFonts w:ascii="Times New Roman" w:eastAsia="SimSun" w:hAnsi="Times New Roman" w:cs="Times New Roman"/>
          <w:lang w:val="en-GB"/>
        </w:rPr>
        <w:t xml:space="preserve">is based on data from Biomass Futures (2012). This source has supply curves for EU27 (information about type of biomass, costs in €/toe and potential </w:t>
      </w:r>
      <w:proofErr w:type="spellStart"/>
      <w:r w:rsidRPr="00085FA6">
        <w:rPr>
          <w:rFonts w:ascii="Times New Roman" w:eastAsia="SimSun" w:hAnsi="Times New Roman" w:cs="Times New Roman"/>
          <w:lang w:val="en-GB"/>
        </w:rPr>
        <w:t>ktoe</w:t>
      </w:r>
      <w:proofErr w:type="spellEnd"/>
      <w:r w:rsidRPr="00085FA6">
        <w:rPr>
          <w:rFonts w:ascii="Times New Roman" w:eastAsia="SimSun" w:hAnsi="Times New Roman" w:cs="Times New Roman"/>
          <w:lang w:val="en-GB"/>
        </w:rPr>
        <w:t xml:space="preserve">). </w:t>
      </w:r>
      <w:r>
        <w:rPr>
          <w:rFonts w:ascii="Times New Roman" w:eastAsia="SimSun" w:hAnsi="Times New Roman" w:cs="Times New Roman"/>
          <w:lang w:val="en-GB"/>
        </w:rPr>
        <w:t>This</w:t>
      </w:r>
      <w:r w:rsidRPr="00085FA6">
        <w:rPr>
          <w:rFonts w:ascii="Times New Roman" w:eastAsia="SimSun" w:hAnsi="Times New Roman" w:cs="Times New Roman"/>
          <w:lang w:val="en-GB"/>
        </w:rPr>
        <w:t xml:space="preserve"> source </w:t>
      </w:r>
      <w:r>
        <w:rPr>
          <w:rFonts w:ascii="Times New Roman" w:eastAsia="SimSun" w:hAnsi="Times New Roman" w:cs="Times New Roman"/>
          <w:lang w:val="en-GB"/>
        </w:rPr>
        <w:t xml:space="preserve">is used </w:t>
      </w:r>
      <w:r w:rsidRPr="00085FA6">
        <w:rPr>
          <w:rFonts w:ascii="Times New Roman" w:eastAsia="SimSun" w:hAnsi="Times New Roman" w:cs="Times New Roman"/>
          <w:lang w:val="en-GB"/>
        </w:rPr>
        <w:t xml:space="preserve">to calibrate parameters for each model country (A, </w:t>
      </w:r>
      <w:proofErr w:type="gramStart"/>
      <w:r w:rsidRPr="00085FA6">
        <w:rPr>
          <w:rFonts w:ascii="Times New Roman" w:eastAsia="SimSun" w:hAnsi="Times New Roman" w:cs="Times New Roman"/>
          <w:lang w:val="en-GB"/>
        </w:rPr>
        <w:t>B(</w:t>
      </w:r>
      <w:proofErr w:type="gramEnd"/>
      <w:r w:rsidRPr="00085FA6">
        <w:rPr>
          <w:rFonts w:ascii="Times New Roman" w:eastAsia="SimSun" w:hAnsi="Times New Roman" w:cs="Times New Roman"/>
          <w:lang w:val="en-GB"/>
        </w:rPr>
        <w:t xml:space="preserve">t) and D(t)). For Norway </w:t>
      </w:r>
      <w:proofErr w:type="spellStart"/>
      <w:r w:rsidRPr="00085FA6">
        <w:rPr>
          <w:rFonts w:ascii="Times New Roman" w:eastAsia="SimSun" w:hAnsi="Times New Roman" w:cs="Times New Roman"/>
          <w:lang w:val="en-GB"/>
        </w:rPr>
        <w:t>Scarlat</w:t>
      </w:r>
      <w:proofErr w:type="spellEnd"/>
      <w:r w:rsidRPr="00085FA6">
        <w:rPr>
          <w:rFonts w:ascii="Times New Roman" w:eastAsia="SimSun" w:hAnsi="Times New Roman" w:cs="Times New Roman"/>
          <w:lang w:val="en-GB"/>
        </w:rPr>
        <w:t xml:space="preserve"> et al. (2011)</w:t>
      </w:r>
      <w:r>
        <w:rPr>
          <w:rFonts w:ascii="Times New Roman" w:eastAsia="SimSun" w:hAnsi="Times New Roman" w:cs="Times New Roman"/>
          <w:lang w:val="en-GB"/>
        </w:rPr>
        <w:t xml:space="preserve"> has been used</w:t>
      </w:r>
      <w:r w:rsidRPr="00085FA6">
        <w:rPr>
          <w:rFonts w:ascii="Times New Roman" w:eastAsia="SimSun" w:hAnsi="Times New Roman" w:cs="Times New Roman"/>
          <w:lang w:val="en-GB"/>
        </w:rPr>
        <w:t xml:space="preserve">, supplemented by ENOVA SF (2008) and </w:t>
      </w:r>
      <w:proofErr w:type="spellStart"/>
      <w:r w:rsidRPr="00085FA6">
        <w:rPr>
          <w:rFonts w:ascii="Times New Roman" w:eastAsia="SimSun" w:hAnsi="Times New Roman" w:cs="Times New Roman"/>
          <w:lang w:val="en-GB"/>
        </w:rPr>
        <w:t>Hobbelstad</w:t>
      </w:r>
      <w:proofErr w:type="spellEnd"/>
      <w:r w:rsidRPr="00085FA6">
        <w:rPr>
          <w:rFonts w:ascii="Times New Roman" w:eastAsia="SimSun" w:hAnsi="Times New Roman" w:cs="Times New Roman"/>
          <w:lang w:val="en-GB"/>
        </w:rPr>
        <w:t xml:space="preserve"> (2009), to estimate the potential. </w:t>
      </w:r>
      <w:r>
        <w:rPr>
          <w:rFonts w:ascii="Times New Roman" w:eastAsia="SimSun" w:hAnsi="Times New Roman" w:cs="Times New Roman"/>
          <w:lang w:val="en-GB"/>
        </w:rPr>
        <w:t>The cost data for Norway is based on data from Sweden</w:t>
      </w:r>
      <w:r w:rsidRPr="00085FA6">
        <w:rPr>
          <w:rFonts w:ascii="Times New Roman" w:eastAsia="SimSun" w:hAnsi="Times New Roman" w:cs="Times New Roman"/>
          <w:lang w:val="en-GB"/>
        </w:rPr>
        <w:t xml:space="preserve">. For Iceland and Switzerland </w:t>
      </w:r>
      <w:r>
        <w:rPr>
          <w:rFonts w:ascii="Times New Roman" w:eastAsia="SimSun" w:hAnsi="Times New Roman" w:cs="Times New Roman"/>
          <w:lang w:val="en-GB"/>
        </w:rPr>
        <w:t>own</w:t>
      </w:r>
      <w:r w:rsidRPr="00085FA6">
        <w:rPr>
          <w:rFonts w:ascii="Times New Roman" w:eastAsia="SimSun" w:hAnsi="Times New Roman" w:cs="Times New Roman"/>
          <w:lang w:val="en-GB"/>
        </w:rPr>
        <w:t xml:space="preserve"> assumptions </w:t>
      </w:r>
      <w:r>
        <w:rPr>
          <w:rFonts w:ascii="Times New Roman" w:eastAsia="SimSun" w:hAnsi="Times New Roman" w:cs="Times New Roman"/>
          <w:lang w:val="en-GB"/>
        </w:rPr>
        <w:t xml:space="preserve">were made </w:t>
      </w:r>
      <w:r w:rsidRPr="00085FA6">
        <w:rPr>
          <w:rFonts w:ascii="Times New Roman" w:eastAsia="SimSun" w:hAnsi="Times New Roman" w:cs="Times New Roman"/>
          <w:lang w:val="en-GB"/>
        </w:rPr>
        <w:t xml:space="preserve">based on data from other European countries. </w:t>
      </w:r>
    </w:p>
    <w:p w:rsidR="00EA0538" w:rsidRPr="00085FA6" w:rsidRDefault="00EA0538" w:rsidP="00EA0538">
      <w:pPr>
        <w:jc w:val="both"/>
        <w:rPr>
          <w:rFonts w:ascii="Times New Roman" w:hAnsi="Times New Roman" w:cs="Times New Roman"/>
          <w:lang w:val="en-GB"/>
        </w:rPr>
      </w:pPr>
    </w:p>
    <w:p w:rsidR="00EA0538" w:rsidRPr="00EA0538" w:rsidRDefault="00EA0538" w:rsidP="00EA0538">
      <w:pPr>
        <w:pStyle w:val="Heading3"/>
        <w:jc w:val="both"/>
        <w:rPr>
          <w:rStyle w:val="Heading3Char"/>
          <w:rFonts w:ascii="Times New Roman" w:hAnsi="Times New Roman" w:cs="Times New Roman"/>
          <w:b/>
          <w:lang w:val="en-US"/>
        </w:rPr>
      </w:pPr>
      <w:bookmarkStart w:id="11" w:name="_Toc386631724"/>
      <w:r w:rsidRPr="00EA0538">
        <w:rPr>
          <w:rStyle w:val="Heading3Char"/>
          <w:rFonts w:ascii="Times New Roman" w:hAnsi="Times New Roman" w:cs="Times New Roman"/>
          <w:b/>
          <w:lang w:val="en-US"/>
        </w:rPr>
        <w:t>3.2.2 Hydropower</w:t>
      </w:r>
      <w:bookmarkEnd w:id="11"/>
      <w:r w:rsidRPr="00EA0538">
        <w:rPr>
          <w:rStyle w:val="Heading3Char"/>
          <w:rFonts w:ascii="Times New Roman" w:hAnsi="Times New Roman" w:cs="Times New Roman"/>
          <w:b/>
          <w:lang w:val="en-US"/>
        </w:rPr>
        <w:t xml:space="preserve">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In the model h</w:t>
      </w:r>
      <w:r w:rsidRPr="00085FA6">
        <w:rPr>
          <w:rFonts w:ascii="Times New Roman" w:hAnsi="Times New Roman" w:cs="Times New Roman"/>
          <w:lang w:val="en-GB"/>
        </w:rPr>
        <w:t xml:space="preserve">ydropower is split into reservoir hydro, run-of-river and pumped storage plants. The main hydro capacity and production data is taken from IEA Electricity Information, supplemented by EURELECTRIC Power Statistics and Trends 2011 and NORDEL (2008) for run-of-river. NORDEL only has data up until 2008, but we assume that the 2008-data are representative for 2009.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To estimate the hydropower potential in each model country data from the World Atlas and Industry Guide (published by The International Journal on Hydropower and Dams) was used. This source provides a gross, technical and economic hydropower potential for all the model countries. The economic potential is defined as the portion of the gross theoretical potential that could be or has already been developed under local economic conditions with current technology. It is not clear whether the economic potential includes sites that would be unacceptable to develop due to social or environmental restrictions. NVE (2011) has more specific data for Norway which shows the share of the economic potential that is protected and unlikely to be developed in the future. For Norway this means that the remaining potential is reduced by more than half. It is likely that these kinds of restrictions apply also in other countries, so to ensure that the hydropower potential is not overestimated it has been reduced by half for all model countries. </w:t>
      </w:r>
    </w:p>
    <w:p w:rsidR="00EA0538" w:rsidRPr="0079523A" w:rsidRDefault="00EA0538" w:rsidP="00EA0538">
      <w:pPr>
        <w:jc w:val="both"/>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Table 1</w:t>
      </w:r>
      <w:r w:rsidRPr="0079523A">
        <w:rPr>
          <w:rFonts w:ascii="Times New Roman" w:hAnsi="Times New Roman" w:cs="Times New Roman"/>
          <w:b/>
          <w:sz w:val="20"/>
          <w:szCs w:val="20"/>
          <w:lang w:val="en-GB"/>
        </w:rPr>
        <w:t xml:space="preserve"> Hydropower potential </w:t>
      </w:r>
    </w:p>
    <w:tbl>
      <w:tblPr>
        <w:tblStyle w:val="LightShading-Accent1"/>
        <w:tblW w:w="0" w:type="auto"/>
        <w:tblLook w:val="04A0" w:firstRow="1" w:lastRow="0" w:firstColumn="1" w:lastColumn="0" w:noHBand="0" w:noVBand="1"/>
      </w:tblPr>
      <w:tblGrid>
        <w:gridCol w:w="992"/>
        <w:gridCol w:w="1629"/>
        <w:gridCol w:w="1576"/>
        <w:gridCol w:w="1723"/>
      </w:tblGrid>
      <w:tr w:rsidR="00EA0538" w:rsidRPr="00ED14EE"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0801EA" w:rsidRDefault="00EA0538" w:rsidP="005F3031">
            <w:pPr>
              <w:jc w:val="both"/>
              <w:rPr>
                <w:rFonts w:ascii="Times New Roman" w:hAnsi="Times New Roman" w:cs="Times New Roman"/>
                <w:b w:val="0"/>
                <w:sz w:val="18"/>
                <w:szCs w:val="18"/>
                <w:lang w:val="en-GB"/>
              </w:rPr>
            </w:pPr>
          </w:p>
          <w:p w:rsidR="00EA0538" w:rsidRPr="000801EA" w:rsidRDefault="00EA0538" w:rsidP="005F3031">
            <w:pPr>
              <w:jc w:val="both"/>
              <w:rPr>
                <w:rFonts w:ascii="Times New Roman" w:hAnsi="Times New Roman" w:cs="Times New Roman"/>
                <w:b w:val="0"/>
                <w:sz w:val="18"/>
                <w:szCs w:val="18"/>
                <w:lang w:val="en-GB"/>
              </w:rPr>
            </w:pPr>
            <w:r w:rsidRPr="000801EA">
              <w:rPr>
                <w:rFonts w:ascii="Times New Roman" w:hAnsi="Times New Roman" w:cs="Times New Roman"/>
                <w:b w:val="0"/>
                <w:sz w:val="18"/>
                <w:szCs w:val="18"/>
                <w:lang w:val="en-GB"/>
              </w:rPr>
              <w:t>Country</w:t>
            </w:r>
          </w:p>
        </w:tc>
        <w:tc>
          <w:tcPr>
            <w:tcW w:w="1629" w:type="dxa"/>
          </w:tcPr>
          <w:p w:rsidR="00EA0538" w:rsidRPr="000801EA"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Pr>
                <w:rFonts w:ascii="Times New Roman" w:hAnsi="Times New Roman" w:cs="Times New Roman"/>
                <w:b w:val="0"/>
                <w:sz w:val="18"/>
                <w:szCs w:val="18"/>
                <w:lang w:val="en-GB"/>
              </w:rPr>
              <w:t>Economically feasible hydro   potential (</w:t>
            </w:r>
            <w:proofErr w:type="spellStart"/>
            <w:r>
              <w:rPr>
                <w:rFonts w:ascii="Times New Roman" w:hAnsi="Times New Roman" w:cs="Times New Roman"/>
                <w:b w:val="0"/>
                <w:sz w:val="18"/>
                <w:szCs w:val="18"/>
                <w:lang w:val="en-GB"/>
              </w:rPr>
              <w:t>TWh</w:t>
            </w:r>
            <w:proofErr w:type="spellEnd"/>
            <w:r>
              <w:rPr>
                <w:rFonts w:ascii="Times New Roman" w:hAnsi="Times New Roman" w:cs="Times New Roman"/>
                <w:b w:val="0"/>
                <w:sz w:val="18"/>
                <w:szCs w:val="18"/>
                <w:lang w:val="en-GB"/>
              </w:rPr>
              <w:t>)</w:t>
            </w:r>
          </w:p>
        </w:tc>
        <w:tc>
          <w:tcPr>
            <w:tcW w:w="1576" w:type="dxa"/>
          </w:tcPr>
          <w:p w:rsidR="00EA0538" w:rsidRPr="0079523A"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Pr>
                <w:rFonts w:ascii="Times New Roman" w:hAnsi="Times New Roman" w:cs="Times New Roman"/>
                <w:b w:val="0"/>
                <w:sz w:val="18"/>
                <w:szCs w:val="18"/>
                <w:lang w:val="en-GB"/>
              </w:rPr>
              <w:t>Potential already developed in 2009</w:t>
            </w:r>
          </w:p>
        </w:tc>
        <w:tc>
          <w:tcPr>
            <w:tcW w:w="1723" w:type="dxa"/>
          </w:tcPr>
          <w:p w:rsidR="00EA0538"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Pr>
                <w:rFonts w:ascii="Times New Roman" w:hAnsi="Times New Roman" w:cs="Times New Roman"/>
                <w:b w:val="0"/>
                <w:sz w:val="18"/>
                <w:szCs w:val="18"/>
                <w:lang w:val="en-GB"/>
              </w:rPr>
              <w:t>Hydro potential in LIBEMOD</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at</w:t>
            </w:r>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53.200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37.542</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7.829</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be</w:t>
            </w:r>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0.400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0.400</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bg</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14.800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2.900</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5.950</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ch</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5.771</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35.229</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2.886</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cy</w:t>
            </w:r>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23.498</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0.002</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11.749</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cz</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3.380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2.032</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0.674</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Pr>
                <w:rFonts w:ascii="Times New Roman" w:hAnsi="Times New Roman" w:cs="Times New Roman"/>
                <w:b w:val="0"/>
                <w:sz w:val="18"/>
                <w:szCs w:val="18"/>
                <w:lang w:val="en-GB"/>
              </w:rPr>
              <w:t>de</w:t>
            </w:r>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20.000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20.000</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dk</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0.070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0.026</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0.022</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ee</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0.375</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0.048</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0.164</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es</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37.000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33.859</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1.571</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fi</w:t>
            </w:r>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16.024</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13.300</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1.312</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fr</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98.000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68.952</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14.524</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gb</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9.000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4.077</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2.461</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gr</w:t>
            </w:r>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15.000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4.345</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5.327</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hu</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4.59</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0.223</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2.184</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ie</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0.950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0.723</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0.113</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is</w:t>
            </w:r>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40.000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12.247</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13.877</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it</w:t>
            </w:r>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50.000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48.033</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0.984</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lt</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1.295</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0.400</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0.448</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lu</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0.137</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0.090</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0.024</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lv</w:t>
            </w:r>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3.900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3.375</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0.262</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mt</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nl</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0.130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0.089</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0.020</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Pr>
                <w:rFonts w:ascii="Times New Roman" w:hAnsi="Times New Roman" w:cs="Times New Roman"/>
                <w:b w:val="0"/>
                <w:sz w:val="18"/>
                <w:szCs w:val="18"/>
                <w:lang w:val="en-GB"/>
              </w:rPr>
              <w:t>no*</w:t>
            </w:r>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20893">
              <w:rPr>
                <w:rFonts w:ascii="Times New Roman" w:hAnsi="Times New Roman" w:cs="Times New Roman"/>
                <w:sz w:val="18"/>
                <w:szCs w:val="18"/>
                <w:lang w:val="en-GB"/>
              </w:rPr>
              <w:t>37.654</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121.872</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18.827</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pl</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7.000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3.879</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1.561</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pt</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19.800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12.648</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3.576</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ro</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40.000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15.700</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12.150</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r w:rsidRPr="00A20893">
              <w:rPr>
                <w:rFonts w:ascii="Times New Roman" w:hAnsi="Times New Roman" w:cs="Times New Roman"/>
                <w:b w:val="0"/>
                <w:sz w:val="18"/>
                <w:szCs w:val="18"/>
                <w:lang w:val="en-GB"/>
              </w:rPr>
              <w:t>se</w:t>
            </w:r>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90.000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64.875</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12.563</w:t>
            </w:r>
          </w:p>
        </w:tc>
      </w:tr>
      <w:tr w:rsidR="00EA0538"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si</w:t>
            </w:r>
            <w:proofErr w:type="spellEnd"/>
          </w:p>
        </w:tc>
        <w:tc>
          <w:tcPr>
            <w:tcW w:w="1629"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6.000</w:t>
            </w:r>
          </w:p>
        </w:tc>
        <w:tc>
          <w:tcPr>
            <w:tcW w:w="1576"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4.286</w:t>
            </w:r>
          </w:p>
        </w:tc>
        <w:tc>
          <w:tcPr>
            <w:tcW w:w="1723" w:type="dxa"/>
          </w:tcPr>
          <w:p w:rsidR="00EA0538" w:rsidRPr="00A20893"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0.857</w:t>
            </w:r>
          </w:p>
        </w:tc>
      </w:tr>
      <w:tr w:rsidR="00EA0538" w:rsidTr="005F3031">
        <w:tc>
          <w:tcPr>
            <w:cnfStyle w:val="001000000000" w:firstRow="0" w:lastRow="0" w:firstColumn="1" w:lastColumn="0" w:oddVBand="0" w:evenVBand="0" w:oddHBand="0" w:evenHBand="0" w:firstRowFirstColumn="0" w:firstRowLastColumn="0" w:lastRowFirstColumn="0" w:lastRowLastColumn="0"/>
            <w:tcW w:w="992" w:type="dxa"/>
          </w:tcPr>
          <w:p w:rsidR="00EA0538" w:rsidRPr="00A20893" w:rsidRDefault="00EA0538" w:rsidP="005F3031">
            <w:pPr>
              <w:rPr>
                <w:rFonts w:ascii="Times New Roman" w:hAnsi="Times New Roman" w:cs="Times New Roman"/>
                <w:b w:val="0"/>
                <w:sz w:val="18"/>
                <w:szCs w:val="18"/>
                <w:lang w:val="en-GB"/>
              </w:rPr>
            </w:pPr>
            <w:proofErr w:type="spellStart"/>
            <w:r w:rsidRPr="00A20893">
              <w:rPr>
                <w:rFonts w:ascii="Times New Roman" w:hAnsi="Times New Roman" w:cs="Times New Roman"/>
                <w:b w:val="0"/>
                <w:sz w:val="18"/>
                <w:szCs w:val="18"/>
                <w:lang w:val="en-GB"/>
              </w:rPr>
              <w:t>sk</w:t>
            </w:r>
            <w:proofErr w:type="spellEnd"/>
          </w:p>
        </w:tc>
        <w:tc>
          <w:tcPr>
            <w:tcW w:w="1629"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5.000</w:t>
            </w:r>
          </w:p>
        </w:tc>
        <w:tc>
          <w:tcPr>
            <w:tcW w:w="1576"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4.286</w:t>
            </w:r>
          </w:p>
        </w:tc>
        <w:tc>
          <w:tcPr>
            <w:tcW w:w="1723" w:type="dxa"/>
          </w:tcPr>
          <w:p w:rsidR="00EA0538" w:rsidRPr="00A20893"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0.359</w:t>
            </w:r>
          </w:p>
        </w:tc>
      </w:tr>
    </w:tbl>
    <w:p w:rsidR="00EA0538" w:rsidRPr="00A20893" w:rsidRDefault="00EA0538" w:rsidP="00EA0538">
      <w:pPr>
        <w:rPr>
          <w:rFonts w:ascii="Times New Roman" w:hAnsi="Times New Roman" w:cs="Times New Roman"/>
          <w:i/>
          <w:sz w:val="18"/>
          <w:szCs w:val="18"/>
          <w:lang w:val="en-GB"/>
        </w:rPr>
      </w:pPr>
      <w:r w:rsidRPr="00A20893">
        <w:rPr>
          <w:rFonts w:ascii="Times New Roman" w:hAnsi="Times New Roman" w:cs="Times New Roman"/>
          <w:i/>
          <w:sz w:val="18"/>
          <w:szCs w:val="18"/>
          <w:lang w:val="en-GB"/>
        </w:rPr>
        <w:t xml:space="preserve">* For Norway the main source is NVE as the economic potential equals the technical potential in the data from The International Journal on Hydropower and Dams.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Table 1 shows the economically feasible hydro potential from the World Atlas and Industry Guide, the potential already developed in 2009 (based on inflow capacity in a hydrological normal year), and the reduced potential used in the model.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inflow capacity in a hydrological normal year is defined as the amount of precipitation that reaches the catchment area and is available for hydropower production. For Iceland, Norway, Sweden and Finland data from NORDEL (2008)</w:t>
      </w:r>
      <w:r>
        <w:rPr>
          <w:rFonts w:ascii="Times New Roman" w:hAnsi="Times New Roman" w:cs="Times New Roman"/>
          <w:lang w:val="en-GB"/>
        </w:rPr>
        <w:t xml:space="preserve"> had been used</w:t>
      </w:r>
      <w:r w:rsidRPr="00085FA6">
        <w:rPr>
          <w:rFonts w:ascii="Times New Roman" w:hAnsi="Times New Roman" w:cs="Times New Roman"/>
          <w:lang w:val="en-GB"/>
        </w:rPr>
        <w:t>. For the other model countries IEA data (Electricity Information</w:t>
      </w:r>
      <w:r>
        <w:rPr>
          <w:rFonts w:ascii="Times New Roman" w:hAnsi="Times New Roman" w:cs="Times New Roman"/>
          <w:lang w:val="en-GB"/>
        </w:rPr>
        <w:t xml:space="preserve"> Statistics database</w:t>
      </w:r>
      <w:r w:rsidRPr="00085FA6">
        <w:rPr>
          <w:rFonts w:ascii="Times New Roman" w:hAnsi="Times New Roman" w:cs="Times New Roman"/>
          <w:lang w:val="en-GB"/>
        </w:rPr>
        <w:t xml:space="preserve">) </w:t>
      </w:r>
      <w:r>
        <w:rPr>
          <w:rFonts w:ascii="Times New Roman" w:hAnsi="Times New Roman" w:cs="Times New Roman"/>
          <w:lang w:val="en-GB"/>
        </w:rPr>
        <w:t xml:space="preserve">is used </w:t>
      </w:r>
      <w:r w:rsidRPr="00085FA6">
        <w:rPr>
          <w:rFonts w:ascii="Times New Roman" w:hAnsi="Times New Roman" w:cs="Times New Roman"/>
          <w:lang w:val="en-GB"/>
        </w:rPr>
        <w:t xml:space="preserve">to create an inflow proxy. This is done by using the average net reservoir hydropower production per unit net reservoir hydropower generation capacity for the years 1974 </w:t>
      </w:r>
      <w:r>
        <w:rPr>
          <w:rFonts w:ascii="Times New Roman" w:hAnsi="Times New Roman" w:cs="Times New Roman"/>
          <w:lang w:val="en-GB"/>
        </w:rPr>
        <w:t>–</w:t>
      </w:r>
      <w:r w:rsidRPr="00085FA6">
        <w:rPr>
          <w:rFonts w:ascii="Times New Roman" w:hAnsi="Times New Roman" w:cs="Times New Roman"/>
          <w:lang w:val="en-GB"/>
        </w:rPr>
        <w:t xml:space="preserve"> 2012, which is then multiplied by the net generation capacity of the base year 2009. The result is a country-specific estimate of inflow capacity in a hydrological normal year. We then split this between reservoir and run-of-river using several sources; EURELECTRIC Power Statistics and Trends 2011, ENTSO-E and Hydro Dam Atlas.</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reservoir capacity measures how much water (</w:t>
      </w:r>
      <w:proofErr w:type="spellStart"/>
      <w:r w:rsidRPr="00085FA6">
        <w:rPr>
          <w:rFonts w:ascii="Times New Roman" w:hAnsi="Times New Roman" w:cs="Times New Roman"/>
          <w:lang w:val="en-GB"/>
        </w:rPr>
        <w:t>GWh</w:t>
      </w:r>
      <w:proofErr w:type="spellEnd"/>
      <w:r w:rsidRPr="00085FA6">
        <w:rPr>
          <w:rFonts w:ascii="Times New Roman" w:hAnsi="Times New Roman" w:cs="Times New Roman"/>
          <w:lang w:val="en-GB"/>
        </w:rPr>
        <w:t xml:space="preserve">) that can be stored in the reservoir; that is, the maximum amount of water that can be transferred from the end of the summer season to the beginning of the winter season, and vice versa. Below we distinguish between the nominal and feasible reservoir capacity, with the difference reflecting uncertainty margins (backup supply). </w:t>
      </w:r>
    </w:p>
    <w:p w:rsidR="00EA0538" w:rsidRPr="00085FA6" w:rsidRDefault="00EA0538" w:rsidP="00EA0538">
      <w:pPr>
        <w:jc w:val="both"/>
        <w:rPr>
          <w:rFonts w:ascii="Times New Roman" w:hAnsi="Times New Roman" w:cs="Times New Roman"/>
          <w:lang w:val="en-US"/>
        </w:rPr>
      </w:pPr>
      <w:r w:rsidRPr="00085FA6">
        <w:rPr>
          <w:rFonts w:ascii="Times New Roman" w:hAnsi="Times New Roman" w:cs="Times New Roman"/>
          <w:lang w:val="en-GB"/>
        </w:rPr>
        <w:t>From NORDEL (2008) we have data for reservoir capacity for Norway, Sweden and Finland in 2008 and we have data on hydro generation in a hydrological normal year for the same countries (see “Inflow capacity”). With these two data sources we can construct a reservoir capacity (</w:t>
      </w:r>
      <w:proofErr w:type="spellStart"/>
      <w:r w:rsidRPr="00085FA6">
        <w:rPr>
          <w:rFonts w:ascii="Times New Roman" w:hAnsi="Times New Roman" w:cs="Times New Roman"/>
          <w:lang w:val="en-GB"/>
        </w:rPr>
        <w:t>GWh</w:t>
      </w:r>
      <w:proofErr w:type="spellEnd"/>
      <w:r w:rsidRPr="00085FA6">
        <w:rPr>
          <w:rFonts w:ascii="Times New Roman" w:hAnsi="Times New Roman" w:cs="Times New Roman"/>
          <w:lang w:val="en-GB"/>
        </w:rPr>
        <w:t>) per unit hydropower generation (</w:t>
      </w:r>
      <w:proofErr w:type="spellStart"/>
      <w:r w:rsidRPr="00085FA6">
        <w:rPr>
          <w:rFonts w:ascii="Times New Roman" w:hAnsi="Times New Roman" w:cs="Times New Roman"/>
          <w:lang w:val="en-GB"/>
        </w:rPr>
        <w:t>TWh</w:t>
      </w:r>
      <w:proofErr w:type="spellEnd"/>
      <w:r w:rsidRPr="00085FA6">
        <w:rPr>
          <w:rFonts w:ascii="Times New Roman" w:hAnsi="Times New Roman" w:cs="Times New Roman"/>
          <w:lang w:val="en-GB"/>
        </w:rPr>
        <w:t>) for Norway, Sweden and Finland.</w:t>
      </w:r>
      <w:r w:rsidRPr="00085FA6">
        <w:rPr>
          <w:rStyle w:val="FootnoteReference"/>
          <w:rFonts w:ascii="Times New Roman" w:hAnsi="Times New Roman" w:cs="Times New Roman"/>
          <w:lang w:val="en-GB"/>
        </w:rPr>
        <w:footnoteReference w:id="12"/>
      </w:r>
      <w:r w:rsidRPr="00085FA6">
        <w:rPr>
          <w:rFonts w:ascii="Times New Roman" w:hAnsi="Times New Roman" w:cs="Times New Roman"/>
          <w:lang w:val="en-GB"/>
        </w:rPr>
        <w:t xml:space="preserve"> However, due to restrictions on the reservoir filling shares, this is then adjusted for the maximum allowed utilisation, which is taken from Nord Pool (2003). </w:t>
      </w:r>
      <w:r w:rsidRPr="00085FA6">
        <w:rPr>
          <w:rFonts w:ascii="Times New Roman" w:hAnsi="Times New Roman" w:cs="Times New Roman"/>
          <w:lang w:val="en-US"/>
        </w:rPr>
        <w:t xml:space="preserve">For the remaining model countries we use the average ratio </w:t>
      </w:r>
      <w:r w:rsidRPr="00085FA6">
        <w:rPr>
          <w:rFonts w:ascii="Times New Roman" w:hAnsi="Times New Roman" w:cs="Times New Roman"/>
          <w:lang w:val="en-US"/>
        </w:rPr>
        <w:lastRenderedPageBreak/>
        <w:t>of reservoir capacity to reservoir production for Norway, Sweden and Finland to create the reservoir capacity (</w:t>
      </w:r>
      <w:proofErr w:type="spellStart"/>
      <w:r w:rsidRPr="00085FA6">
        <w:rPr>
          <w:rFonts w:ascii="Times New Roman" w:hAnsi="Times New Roman" w:cs="Times New Roman"/>
          <w:lang w:val="en-US"/>
        </w:rPr>
        <w:t>GWh</w:t>
      </w:r>
      <w:proofErr w:type="spellEnd"/>
      <w:r w:rsidRPr="00085FA6">
        <w:rPr>
          <w:rFonts w:ascii="Times New Roman" w:hAnsi="Times New Roman" w:cs="Times New Roman"/>
          <w:lang w:val="en-US"/>
        </w:rPr>
        <w:t>) per unit reservoir hydropower generation (</w:t>
      </w:r>
      <w:proofErr w:type="spellStart"/>
      <w:r w:rsidRPr="00085FA6">
        <w:rPr>
          <w:rFonts w:ascii="Times New Roman" w:hAnsi="Times New Roman" w:cs="Times New Roman"/>
          <w:lang w:val="en-US"/>
        </w:rPr>
        <w:t>TWh</w:t>
      </w:r>
      <w:proofErr w:type="spellEnd"/>
      <w:r w:rsidRPr="00085FA6">
        <w:rPr>
          <w:rFonts w:ascii="Times New Roman" w:hAnsi="Times New Roman" w:cs="Times New Roman"/>
          <w:lang w:val="en-US"/>
        </w:rPr>
        <w:t xml:space="preserve">). </w:t>
      </w:r>
    </w:p>
    <w:p w:rsidR="00EA0538" w:rsidRDefault="00EA0538" w:rsidP="00EA0538">
      <w:pPr>
        <w:jc w:val="both"/>
        <w:rPr>
          <w:rFonts w:ascii="Times New Roman" w:hAnsi="Times New Roman" w:cs="Times New Roman"/>
          <w:lang w:val="en-US"/>
        </w:rPr>
      </w:pPr>
      <w:r w:rsidRPr="00085FA6">
        <w:rPr>
          <w:rFonts w:ascii="Times New Roman" w:hAnsi="Times New Roman" w:cs="Times New Roman"/>
          <w:lang w:val="en-US"/>
        </w:rPr>
        <w:t>From Nord Pool (2003) we have information on the maximum, minimum and median filling shares for Norway, Sweden and Finland for 1</w:t>
      </w:r>
      <w:r w:rsidRPr="00085FA6">
        <w:rPr>
          <w:rFonts w:ascii="Times New Roman" w:hAnsi="Times New Roman" w:cs="Times New Roman"/>
          <w:vertAlign w:val="superscript"/>
          <w:lang w:val="en-US"/>
        </w:rPr>
        <w:t>st</w:t>
      </w:r>
      <w:r w:rsidRPr="00085FA6">
        <w:rPr>
          <w:rFonts w:ascii="Times New Roman" w:hAnsi="Times New Roman" w:cs="Times New Roman"/>
          <w:lang w:val="en-US"/>
        </w:rPr>
        <w:t xml:space="preserve"> April and 1</w:t>
      </w:r>
      <w:r w:rsidRPr="00085FA6">
        <w:rPr>
          <w:rFonts w:ascii="Times New Roman" w:hAnsi="Times New Roman" w:cs="Times New Roman"/>
          <w:vertAlign w:val="superscript"/>
          <w:lang w:val="en-US"/>
        </w:rPr>
        <w:t>st</w:t>
      </w:r>
      <w:r w:rsidRPr="00085FA6">
        <w:rPr>
          <w:rFonts w:ascii="Times New Roman" w:hAnsi="Times New Roman" w:cs="Times New Roman"/>
          <w:lang w:val="en-US"/>
        </w:rPr>
        <w:t xml:space="preserve"> October. For each of these countries we use the difference between maximum filling share on 1</w:t>
      </w:r>
      <w:r w:rsidRPr="00085FA6">
        <w:rPr>
          <w:rFonts w:ascii="Times New Roman" w:hAnsi="Times New Roman" w:cs="Times New Roman"/>
          <w:vertAlign w:val="superscript"/>
          <w:lang w:val="en-US"/>
        </w:rPr>
        <w:t>st</w:t>
      </w:r>
      <w:r w:rsidRPr="00085FA6">
        <w:rPr>
          <w:rFonts w:ascii="Times New Roman" w:hAnsi="Times New Roman" w:cs="Times New Roman"/>
          <w:lang w:val="en-US"/>
        </w:rPr>
        <w:t xml:space="preserve"> October and the minimum filling share on 1</w:t>
      </w:r>
      <w:r w:rsidRPr="00085FA6">
        <w:rPr>
          <w:rFonts w:ascii="Times New Roman" w:hAnsi="Times New Roman" w:cs="Times New Roman"/>
          <w:vertAlign w:val="superscript"/>
          <w:lang w:val="en-US"/>
        </w:rPr>
        <w:t>st</w:t>
      </w:r>
      <w:r w:rsidRPr="00085FA6">
        <w:rPr>
          <w:rFonts w:ascii="Times New Roman" w:hAnsi="Times New Roman" w:cs="Times New Roman"/>
          <w:lang w:val="en-US"/>
        </w:rPr>
        <w:t xml:space="preserve"> April as an approximation for the share of the reservoir that can be transferred from the end of the summer season to the beginning of the winter season. The product of a share and the corresponding nominal reservoir capacity is termed feasible reservoir capacity. Finally, for the remaining model countries, we use the weighted shares of the Nordic countries to estimate feasible reservoir capacities. </w:t>
      </w:r>
      <w:r w:rsidRPr="00085FA6">
        <w:rPr>
          <w:rFonts w:ascii="Times New Roman" w:hAnsi="Times New Roman" w:cs="Times New Roman"/>
          <w:lang w:val="en-US"/>
        </w:rPr>
        <w:br/>
      </w:r>
    </w:p>
    <w:p w:rsidR="00EA0538" w:rsidRPr="00085FA6" w:rsidRDefault="00EA0538" w:rsidP="00EA0538">
      <w:pPr>
        <w:pStyle w:val="Heading3"/>
        <w:jc w:val="both"/>
        <w:rPr>
          <w:rFonts w:ascii="Times New Roman" w:hAnsi="Times New Roman" w:cs="Times New Roman"/>
          <w:lang w:val="en-US"/>
        </w:rPr>
      </w:pPr>
      <w:bookmarkStart w:id="12" w:name="_Toc386631725"/>
      <w:r w:rsidRPr="00085FA6">
        <w:rPr>
          <w:rFonts w:ascii="Times New Roman" w:hAnsi="Times New Roman" w:cs="Times New Roman"/>
          <w:lang w:val="en-US"/>
        </w:rPr>
        <w:t>3.2.3 Solar power</w:t>
      </w:r>
      <w:bookmarkEnd w:id="12"/>
      <w:r w:rsidRPr="00085FA6">
        <w:rPr>
          <w:rFonts w:ascii="Times New Roman" w:hAnsi="Times New Roman" w:cs="Times New Roman"/>
          <w:lang w:val="en-US"/>
        </w:rPr>
        <w:t xml:space="preserve">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In the model </w:t>
      </w:r>
      <w:r>
        <w:rPr>
          <w:rFonts w:ascii="Times New Roman" w:hAnsi="Times New Roman" w:cs="Times New Roman"/>
          <w:lang w:val="en-GB"/>
        </w:rPr>
        <w:t>it is</w:t>
      </w:r>
      <w:r w:rsidRPr="00085FA6">
        <w:rPr>
          <w:rFonts w:ascii="Times New Roman" w:hAnsi="Times New Roman" w:cs="Times New Roman"/>
          <w:lang w:val="en-GB"/>
        </w:rPr>
        <w:t xml:space="preserve"> assumed that all solar power is based on photovoltaic (PV) technology and organised as centralised power plants. Based on the </w:t>
      </w:r>
      <w:r w:rsidRPr="00085FA6">
        <w:rPr>
          <w:rFonts w:ascii="Times New Roman" w:hAnsi="Times New Roman" w:cs="Times New Roman"/>
          <w:i/>
          <w:lang w:val="en-GB"/>
        </w:rPr>
        <w:t>photovoltaic effect</w:t>
      </w:r>
      <w:r w:rsidRPr="00085FA6">
        <w:rPr>
          <w:rFonts w:ascii="Times New Roman" w:hAnsi="Times New Roman" w:cs="Times New Roman"/>
          <w:lang w:val="en-GB"/>
        </w:rPr>
        <w:t xml:space="preserve"> PV cells can convert sunlight directly into electricity. The PV cells are assembled as modules that are used for electricity generation (IEA ETSAP 2011/E11).  There are several different PV technologies on the market and under development today. These are often divided into three categories; (</w:t>
      </w:r>
      <w:proofErr w:type="spellStart"/>
      <w:r w:rsidRPr="00085FA6">
        <w:rPr>
          <w:rFonts w:ascii="Times New Roman" w:hAnsi="Times New Roman" w:cs="Times New Roman"/>
          <w:lang w:val="en-GB"/>
        </w:rPr>
        <w:t>i</w:t>
      </w:r>
      <w:proofErr w:type="spellEnd"/>
      <w:r w:rsidRPr="00085FA6">
        <w:rPr>
          <w:rFonts w:ascii="Times New Roman" w:hAnsi="Times New Roman" w:cs="Times New Roman"/>
          <w:lang w:val="en-GB"/>
        </w:rPr>
        <w:t xml:space="preserve">) first-generation PV systems based on crystalline silicon technology, (ii) second-generation thin film PV (based on several different materials) and (iii) third-generation PV which includes new technologies like concentrated PV, organic solar cells and dye sensitized solar cells. The first-generation PV systems are fully commercial, whereas the second-generation are in the stages of early market deployment (IRENA 2012). In the model we use technical data and costs of first-generation PV systems.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There are various ways to measure solar irradiance. Global horizontal irradiance (GHI) is a measure of the density of the available solar resource per surface area. However, GHI can also be measured with tilted collectors that have an optimal angle for the location or even with devices that track the sun.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To estimate the potential of the solar resource in each model country data for solar insolation around the world from the NASA Surface Meteorology and Solar Energy database</w:t>
      </w:r>
      <w:r>
        <w:rPr>
          <w:rFonts w:ascii="Times New Roman" w:hAnsi="Times New Roman" w:cs="Times New Roman"/>
          <w:lang w:val="en-GB"/>
        </w:rPr>
        <w:t xml:space="preserve"> has been used</w:t>
      </w:r>
      <w:r w:rsidRPr="00085FA6">
        <w:rPr>
          <w:rFonts w:ascii="Times New Roman" w:hAnsi="Times New Roman" w:cs="Times New Roman"/>
          <w:lang w:val="en-GB"/>
        </w:rPr>
        <w:t>. This gives information about the monthly average insolation incident, measured in kWh/m</w:t>
      </w:r>
      <w:r w:rsidRPr="00085FA6">
        <w:rPr>
          <w:rFonts w:ascii="Times New Roman" w:hAnsi="Times New Roman" w:cs="Times New Roman"/>
          <w:vertAlign w:val="superscript"/>
          <w:lang w:val="en-GB"/>
        </w:rPr>
        <w:t>2</w:t>
      </w:r>
      <w:r w:rsidRPr="00085FA6">
        <w:rPr>
          <w:rFonts w:ascii="Times New Roman" w:hAnsi="Times New Roman" w:cs="Times New Roman"/>
          <w:lang w:val="en-GB"/>
        </w:rPr>
        <w:t>/day, based on a 22-year average. We use the data for tilted collectors, choosing the insolation data for the tilt angle that gives the highest annual average for each location. We have created a dataset with a “best” and “worst” location for solar insolation (kWh/m</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/year) for each model country. These locations have been chosen </w:t>
      </w:r>
      <w:r>
        <w:rPr>
          <w:rFonts w:ascii="Times New Roman" w:hAnsi="Times New Roman" w:cs="Times New Roman"/>
          <w:lang w:val="en-GB"/>
        </w:rPr>
        <w:t xml:space="preserve">based on </w:t>
      </w:r>
      <w:r w:rsidRPr="00085FA6">
        <w:rPr>
          <w:rFonts w:ascii="Times New Roman" w:hAnsi="Times New Roman" w:cs="Times New Roman"/>
          <w:lang w:val="en-GB"/>
        </w:rPr>
        <w:t>an assessment of each model country using a map of PV potential in the EU regions</w:t>
      </w:r>
      <w:r w:rsidRPr="00085FA6">
        <w:rPr>
          <w:rStyle w:val="FootnoteReference"/>
          <w:rFonts w:ascii="Times New Roman" w:hAnsi="Times New Roman" w:cs="Times New Roman"/>
          <w:lang w:val="en-GB"/>
        </w:rPr>
        <w:footnoteReference w:id="13"/>
      </w:r>
      <w:r w:rsidRPr="00085FA6">
        <w:rPr>
          <w:rFonts w:ascii="Times New Roman" w:hAnsi="Times New Roman" w:cs="Times New Roman"/>
          <w:lang w:val="en-GB"/>
        </w:rPr>
        <w:t xml:space="preserve"> and sampling from the NASA database. The data has been aggregate</w:t>
      </w:r>
      <w:r>
        <w:rPr>
          <w:rFonts w:ascii="Times New Roman" w:hAnsi="Times New Roman" w:cs="Times New Roman"/>
          <w:lang w:val="en-GB"/>
        </w:rPr>
        <w:t>d</w:t>
      </w:r>
      <w:r w:rsidRPr="00085FA6">
        <w:rPr>
          <w:rFonts w:ascii="Times New Roman" w:hAnsi="Times New Roman" w:cs="Times New Roman"/>
          <w:lang w:val="en-GB"/>
        </w:rPr>
        <w:t xml:space="preserve"> to our two seasons (summer/winter).  The “best” and “worst” estimates are used in the calibration, and the absolute difference between locations is assumed to be constant over time. </w:t>
      </w:r>
    </w:p>
    <w:p w:rsidR="00EA0538" w:rsidRPr="000D0AB8" w:rsidRDefault="00EA0538" w:rsidP="00EA0538">
      <w:pPr>
        <w:rPr>
          <w:rFonts w:ascii="Times New Roman" w:hAnsi="Times New Roman" w:cs="Times New Roman"/>
          <w:b/>
          <w:sz w:val="20"/>
          <w:szCs w:val="20"/>
          <w:lang w:val="en-GB"/>
        </w:rPr>
      </w:pPr>
      <w:r w:rsidRPr="00085FA6">
        <w:rPr>
          <w:rFonts w:ascii="Times New Roman" w:hAnsi="Times New Roman" w:cs="Times New Roman"/>
          <w:b/>
          <w:lang w:val="en-GB"/>
        </w:rPr>
        <w:br/>
      </w:r>
      <w:r w:rsidRPr="000D0AB8">
        <w:rPr>
          <w:rFonts w:ascii="Times New Roman" w:hAnsi="Times New Roman" w:cs="Times New Roman"/>
          <w:b/>
          <w:sz w:val="20"/>
          <w:szCs w:val="20"/>
          <w:lang w:val="en-GB"/>
        </w:rPr>
        <w:t xml:space="preserve">Table 2 Solar insolation </w:t>
      </w:r>
      <w:r>
        <w:rPr>
          <w:rFonts w:ascii="Times New Roman" w:hAnsi="Times New Roman" w:cs="Times New Roman"/>
          <w:b/>
          <w:sz w:val="20"/>
          <w:szCs w:val="20"/>
          <w:lang w:val="en-GB"/>
        </w:rPr>
        <w:t xml:space="preserve">in </w:t>
      </w:r>
      <w:r w:rsidRPr="000D0AB8">
        <w:rPr>
          <w:rFonts w:ascii="Times New Roman" w:hAnsi="Times New Roman" w:cs="Times New Roman"/>
          <w:b/>
          <w:sz w:val="20"/>
          <w:szCs w:val="20"/>
          <w:lang w:val="en-GB"/>
        </w:rPr>
        <w:t>kWh/m</w:t>
      </w:r>
      <w:r w:rsidRPr="000D0AB8">
        <w:rPr>
          <w:rFonts w:ascii="Times New Roman" w:hAnsi="Times New Roman" w:cs="Times New Roman"/>
          <w:b/>
          <w:sz w:val="20"/>
          <w:szCs w:val="20"/>
          <w:vertAlign w:val="superscript"/>
          <w:lang w:val="en-GB"/>
        </w:rPr>
        <w:t>2</w:t>
      </w:r>
      <w:r w:rsidRPr="000D0AB8">
        <w:rPr>
          <w:rFonts w:ascii="Times New Roman" w:hAnsi="Times New Roman" w:cs="Times New Roman"/>
          <w:b/>
          <w:sz w:val="20"/>
          <w:szCs w:val="20"/>
          <w:lang w:val="en-GB"/>
        </w:rPr>
        <w:t>/year (Average radiation incident on an equator-pointed tilted surface)</w:t>
      </w:r>
    </w:p>
    <w:tbl>
      <w:tblPr>
        <w:tblStyle w:val="LightShading-Accent1"/>
        <w:tblW w:w="0" w:type="auto"/>
        <w:tblLayout w:type="fixed"/>
        <w:tblLook w:val="04A0" w:firstRow="1" w:lastRow="0" w:firstColumn="1" w:lastColumn="0" w:noHBand="0" w:noVBand="1"/>
      </w:tblPr>
      <w:tblGrid>
        <w:gridCol w:w="959"/>
        <w:gridCol w:w="1701"/>
        <w:gridCol w:w="1134"/>
        <w:gridCol w:w="1134"/>
        <w:gridCol w:w="1134"/>
        <w:gridCol w:w="1417"/>
      </w:tblGrid>
      <w:tr w:rsidR="00EA0538" w:rsidRPr="00EA0538"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911E11" w:rsidRDefault="00EA0538" w:rsidP="005F3031">
            <w:pPr>
              <w:rPr>
                <w:rFonts w:ascii="Times New Roman" w:hAnsi="Times New Roman" w:cs="Times New Roman"/>
                <w:b w:val="0"/>
                <w:sz w:val="18"/>
                <w:szCs w:val="18"/>
                <w:lang w:val="en-GB"/>
              </w:rPr>
            </w:pPr>
            <w:r w:rsidRPr="00911E11">
              <w:rPr>
                <w:rFonts w:ascii="Times New Roman" w:hAnsi="Times New Roman" w:cs="Times New Roman"/>
                <w:b w:val="0"/>
                <w:sz w:val="18"/>
                <w:szCs w:val="18"/>
                <w:lang w:val="en-GB"/>
              </w:rPr>
              <w:t>Country</w:t>
            </w:r>
          </w:p>
        </w:tc>
        <w:tc>
          <w:tcPr>
            <w:tcW w:w="1701" w:type="dxa"/>
          </w:tcPr>
          <w:p w:rsidR="00EA0538" w:rsidRPr="00911E11"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sidRPr="00911E11">
              <w:rPr>
                <w:rFonts w:ascii="Times New Roman" w:hAnsi="Times New Roman" w:cs="Times New Roman"/>
                <w:b w:val="0"/>
                <w:sz w:val="18"/>
                <w:szCs w:val="18"/>
                <w:lang w:val="en-GB"/>
              </w:rPr>
              <w:t>Available land 2050</w:t>
            </w:r>
          </w:p>
          <w:p w:rsidR="00EA0538" w:rsidRPr="009C4165"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lang w:val="en-GB"/>
              </w:rPr>
            </w:pPr>
            <w:r w:rsidRPr="009C4165">
              <w:rPr>
                <w:rFonts w:ascii="Times New Roman" w:hAnsi="Times New Roman" w:cs="Times New Roman"/>
                <w:b w:val="0"/>
                <w:i/>
                <w:sz w:val="18"/>
                <w:szCs w:val="18"/>
                <w:lang w:val="en-GB"/>
              </w:rPr>
              <w:t>km2</w:t>
            </w:r>
          </w:p>
        </w:tc>
        <w:tc>
          <w:tcPr>
            <w:tcW w:w="2268" w:type="dxa"/>
            <w:gridSpan w:val="2"/>
          </w:tcPr>
          <w:p w:rsidR="00EA0538" w:rsidRPr="00911E11"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sidRPr="00911E11">
              <w:rPr>
                <w:rFonts w:ascii="Times New Roman" w:hAnsi="Times New Roman" w:cs="Times New Roman"/>
                <w:b w:val="0"/>
                <w:sz w:val="18"/>
                <w:szCs w:val="18"/>
                <w:lang w:val="en-GB"/>
              </w:rPr>
              <w:t>Insolation at best site</w:t>
            </w:r>
          </w:p>
          <w:p w:rsidR="00EA0538" w:rsidRPr="00911E11"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sidRPr="00911E11">
              <w:rPr>
                <w:rFonts w:ascii="Times New Roman" w:hAnsi="Times New Roman" w:cs="Times New Roman"/>
                <w:b w:val="0"/>
                <w:sz w:val="18"/>
                <w:szCs w:val="18"/>
                <w:lang w:val="en-GB"/>
              </w:rPr>
              <w:t xml:space="preserve"> </w:t>
            </w:r>
            <w:r w:rsidRPr="009C4165">
              <w:rPr>
                <w:rFonts w:ascii="Times New Roman" w:hAnsi="Times New Roman" w:cs="Times New Roman"/>
                <w:b w:val="0"/>
                <w:i/>
                <w:sz w:val="18"/>
                <w:szCs w:val="18"/>
                <w:lang w:val="en-GB"/>
              </w:rPr>
              <w:t>kWh/m2/</w:t>
            </w:r>
            <w:proofErr w:type="spellStart"/>
            <w:r w:rsidRPr="009C4165">
              <w:rPr>
                <w:rFonts w:ascii="Times New Roman" w:hAnsi="Times New Roman" w:cs="Times New Roman"/>
                <w:b w:val="0"/>
                <w:i/>
                <w:sz w:val="18"/>
                <w:szCs w:val="18"/>
                <w:lang w:val="en-GB"/>
              </w:rPr>
              <w:t>yr</w:t>
            </w:r>
            <w:proofErr w:type="spellEnd"/>
            <w:r>
              <w:rPr>
                <w:rFonts w:ascii="Times New Roman" w:hAnsi="Times New Roman" w:cs="Times New Roman"/>
                <w:b w:val="0"/>
                <w:sz w:val="18"/>
                <w:szCs w:val="18"/>
                <w:lang w:val="en-GB"/>
              </w:rPr>
              <w:t xml:space="preserve">   </w:t>
            </w:r>
            <w:r w:rsidRPr="00911E11">
              <w:rPr>
                <w:rFonts w:ascii="Times New Roman" w:hAnsi="Times New Roman" w:cs="Times New Roman"/>
                <w:b w:val="0"/>
                <w:sz w:val="18"/>
                <w:szCs w:val="18"/>
                <w:lang w:val="en-GB"/>
              </w:rPr>
              <w:t xml:space="preserve">  </w:t>
            </w:r>
            <w:r>
              <w:rPr>
                <w:rFonts w:ascii="Times New Roman" w:hAnsi="Times New Roman" w:cs="Times New Roman"/>
                <w:b w:val="0"/>
                <w:i/>
                <w:sz w:val="18"/>
                <w:szCs w:val="18"/>
                <w:lang w:val="en-GB"/>
              </w:rPr>
              <w:t xml:space="preserve">Panel </w:t>
            </w:r>
            <w:r w:rsidRPr="009C4165">
              <w:rPr>
                <w:rFonts w:ascii="Times New Roman" w:hAnsi="Times New Roman" w:cs="Times New Roman"/>
                <w:b w:val="0"/>
                <w:i/>
                <w:sz w:val="18"/>
                <w:szCs w:val="18"/>
                <w:lang w:val="en-GB"/>
              </w:rPr>
              <w:t>angle</w:t>
            </w:r>
          </w:p>
        </w:tc>
        <w:tc>
          <w:tcPr>
            <w:tcW w:w="2551" w:type="dxa"/>
            <w:gridSpan w:val="2"/>
          </w:tcPr>
          <w:p w:rsidR="00EA0538" w:rsidRPr="00911E11"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GB"/>
              </w:rPr>
            </w:pPr>
            <w:r>
              <w:rPr>
                <w:rFonts w:ascii="Times New Roman" w:hAnsi="Times New Roman" w:cs="Times New Roman"/>
                <w:b w:val="0"/>
                <w:sz w:val="18"/>
                <w:szCs w:val="18"/>
                <w:lang w:val="en-GB"/>
              </w:rPr>
              <w:t>Insolation at worst</w:t>
            </w:r>
            <w:r w:rsidRPr="00911E11">
              <w:rPr>
                <w:rFonts w:ascii="Times New Roman" w:hAnsi="Times New Roman" w:cs="Times New Roman"/>
                <w:b w:val="0"/>
                <w:sz w:val="18"/>
                <w:szCs w:val="18"/>
                <w:lang w:val="en-GB"/>
              </w:rPr>
              <w:t xml:space="preserve"> site</w:t>
            </w:r>
          </w:p>
          <w:p w:rsidR="00EA0538" w:rsidRPr="009C4165"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lang w:val="en-GB"/>
              </w:rPr>
            </w:pPr>
            <w:r w:rsidRPr="009C4165">
              <w:rPr>
                <w:rFonts w:ascii="Times New Roman" w:hAnsi="Times New Roman" w:cs="Times New Roman"/>
                <w:b w:val="0"/>
                <w:i/>
                <w:sz w:val="18"/>
                <w:szCs w:val="18"/>
                <w:lang w:val="en-GB"/>
              </w:rPr>
              <w:t>kWh/m2/</w:t>
            </w:r>
            <w:proofErr w:type="spellStart"/>
            <w:r w:rsidRPr="009C4165">
              <w:rPr>
                <w:rFonts w:ascii="Times New Roman" w:hAnsi="Times New Roman" w:cs="Times New Roman"/>
                <w:b w:val="0"/>
                <w:i/>
                <w:sz w:val="18"/>
                <w:szCs w:val="18"/>
                <w:lang w:val="en-GB"/>
              </w:rPr>
              <w:t>yr</w:t>
            </w:r>
            <w:proofErr w:type="spellEnd"/>
            <w:r w:rsidRPr="009C4165">
              <w:rPr>
                <w:rFonts w:ascii="Times New Roman" w:hAnsi="Times New Roman" w:cs="Times New Roman"/>
                <w:b w:val="0"/>
                <w:i/>
                <w:sz w:val="18"/>
                <w:szCs w:val="18"/>
                <w:lang w:val="en-GB"/>
              </w:rPr>
              <w:t xml:space="preserve">        </w:t>
            </w:r>
            <w:r>
              <w:rPr>
                <w:rFonts w:ascii="Times New Roman" w:hAnsi="Times New Roman" w:cs="Times New Roman"/>
                <w:b w:val="0"/>
                <w:i/>
                <w:sz w:val="18"/>
                <w:szCs w:val="18"/>
                <w:lang w:val="en-GB"/>
              </w:rPr>
              <w:t xml:space="preserve">Panel </w:t>
            </w:r>
            <w:r w:rsidRPr="009C4165">
              <w:rPr>
                <w:rFonts w:ascii="Times New Roman" w:hAnsi="Times New Roman" w:cs="Times New Roman"/>
                <w:b w:val="0"/>
                <w:i/>
                <w:sz w:val="18"/>
                <w:szCs w:val="18"/>
                <w:lang w:val="en-GB"/>
              </w:rPr>
              <w:t>angle</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AT</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161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1386</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1245</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33</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BE</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75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1143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1134</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36</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BG</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257</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1612</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26</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1509</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28</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CH</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79</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1421</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31</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1366</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32</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CY</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6</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2142</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34</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2044</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20</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CZ</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113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1216</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34</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1153</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35</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DE</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864</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1272</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33</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1079</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38</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DK</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134</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1287</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42</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1090</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39</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EE</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50</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1248</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43</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1165</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43</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ES</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1401</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2114</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37</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1601</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28</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FI</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128</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1142</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46</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956</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53</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FR</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1466</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1817</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28</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1175</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35</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GB</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872</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1291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36</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1109</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37</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GR</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420</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2065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21</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1516</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26</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HU</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297</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1420</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1254</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33</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lastRenderedPageBreak/>
              <w:t>IE</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214</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1220</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39</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1089</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37</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IS</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117</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1182</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48</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776</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51</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IT</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713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1989</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1490</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30</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LT</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140</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1300</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40</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1137</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39</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LU</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7</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1207</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34</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1204</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34</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LV</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95</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1313</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1165</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42</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MT</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0</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2095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2078</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36</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NL</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118</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1289</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36</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1090</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37</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NO</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53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1191</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813</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55</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PL</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829</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1181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35</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1131</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38</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PT</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185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1983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1965</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26</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RO</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701</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1504</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29</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1358</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32</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SE</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169</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1217</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41</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999</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52</w:t>
            </w:r>
          </w:p>
        </w:tc>
      </w:tr>
      <w:tr w:rsidR="00EA0538" w:rsidRPr="00911E11" w:rsidTr="005F303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SI</w:t>
            </w:r>
          </w:p>
        </w:tc>
        <w:tc>
          <w:tcPr>
            <w:tcW w:w="1701"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24</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1568</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30</w:t>
            </w:r>
          </w:p>
        </w:tc>
        <w:tc>
          <w:tcPr>
            <w:tcW w:w="1134"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1386</w:t>
            </w:r>
          </w:p>
        </w:tc>
        <w:tc>
          <w:tcPr>
            <w:tcW w:w="1417" w:type="dxa"/>
            <w:vAlign w:val="bottom"/>
          </w:tcPr>
          <w:p w:rsidR="00EA0538" w:rsidRPr="009C4165"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31</w:t>
            </w:r>
          </w:p>
        </w:tc>
      </w:tr>
      <w:tr w:rsidR="00EA0538" w:rsidRPr="00911E11"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B80F39" w:rsidRDefault="00EA0538" w:rsidP="005F3031">
            <w:pPr>
              <w:rPr>
                <w:rFonts w:ascii="Times New Roman" w:hAnsi="Times New Roman" w:cs="Times New Roman"/>
                <w:b w:val="0"/>
                <w:sz w:val="20"/>
                <w:szCs w:val="20"/>
                <w:lang w:val="en-GB"/>
              </w:rPr>
            </w:pPr>
            <w:r w:rsidRPr="00B80F39">
              <w:rPr>
                <w:rFonts w:ascii="Times New Roman" w:hAnsi="Times New Roman" w:cs="Times New Roman"/>
                <w:b w:val="0"/>
                <w:sz w:val="20"/>
                <w:szCs w:val="20"/>
                <w:lang w:val="en-GB"/>
              </w:rPr>
              <w:t>SK</w:t>
            </w:r>
          </w:p>
        </w:tc>
        <w:tc>
          <w:tcPr>
            <w:tcW w:w="1701"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98</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1285</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33</w:t>
            </w:r>
          </w:p>
        </w:tc>
        <w:tc>
          <w:tcPr>
            <w:tcW w:w="1134"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lang w:val="en-GB"/>
              </w:rPr>
              <w:t>1169</w:t>
            </w:r>
          </w:p>
        </w:tc>
        <w:tc>
          <w:tcPr>
            <w:tcW w:w="1417" w:type="dxa"/>
            <w:vAlign w:val="bottom"/>
          </w:tcPr>
          <w:p w:rsidR="00EA0538" w:rsidRPr="009C4165"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sz w:val="20"/>
                <w:szCs w:val="20"/>
              </w:rPr>
            </w:pPr>
            <w:r w:rsidRPr="009C4165">
              <w:rPr>
                <w:rFonts w:ascii="Times New Roman" w:eastAsia="Times New Roman" w:hAnsi="Times New Roman" w:cs="Times New Roman"/>
                <w:color w:val="4F81BD" w:themeColor="accent1"/>
                <w:sz w:val="20"/>
                <w:szCs w:val="20"/>
              </w:rPr>
              <w:t>34</w:t>
            </w:r>
          </w:p>
        </w:tc>
      </w:tr>
    </w:tbl>
    <w:p w:rsidR="00EA0538" w:rsidRPr="00FF79C1" w:rsidRDefault="00EA0538" w:rsidP="00EA0538">
      <w:pPr>
        <w:rPr>
          <w:rFonts w:ascii="Times New Roman" w:hAnsi="Times New Roman" w:cs="Times New Roman"/>
          <w:i/>
          <w:sz w:val="20"/>
          <w:szCs w:val="20"/>
          <w:lang w:val="en-GB"/>
        </w:rPr>
      </w:pPr>
      <w:r w:rsidRPr="00FF79C1">
        <w:rPr>
          <w:rFonts w:ascii="Times New Roman" w:hAnsi="Times New Roman" w:cs="Times New Roman"/>
          <w:i/>
          <w:sz w:val="20"/>
          <w:szCs w:val="20"/>
          <w:lang w:val="en-GB"/>
        </w:rPr>
        <w:t>Source: All data from the NASA Surface meteorology and solar energy database.</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Based on </w:t>
      </w:r>
      <w:proofErr w:type="spellStart"/>
      <w:r w:rsidRPr="00085FA6">
        <w:rPr>
          <w:rFonts w:ascii="Times New Roman" w:hAnsi="Times New Roman" w:cs="Times New Roman"/>
          <w:lang w:val="en-GB"/>
        </w:rPr>
        <w:t>Hoefnagels</w:t>
      </w:r>
      <w:proofErr w:type="spellEnd"/>
      <w:r w:rsidRPr="00085FA6">
        <w:rPr>
          <w:rFonts w:ascii="Times New Roman" w:hAnsi="Times New Roman" w:cs="Times New Roman"/>
          <w:lang w:val="en-GB"/>
        </w:rPr>
        <w:t xml:space="preserve"> et al. (2011) </w:t>
      </w:r>
      <w:r>
        <w:rPr>
          <w:rFonts w:ascii="Times New Roman" w:hAnsi="Times New Roman" w:cs="Times New Roman"/>
          <w:lang w:val="en-GB"/>
        </w:rPr>
        <w:t>it is</w:t>
      </w:r>
      <w:r w:rsidRPr="00085FA6">
        <w:rPr>
          <w:rFonts w:ascii="Times New Roman" w:hAnsi="Times New Roman" w:cs="Times New Roman"/>
          <w:lang w:val="en-GB"/>
        </w:rPr>
        <w:t xml:space="preserve"> assume</w:t>
      </w:r>
      <w:r>
        <w:rPr>
          <w:rFonts w:ascii="Times New Roman" w:hAnsi="Times New Roman" w:cs="Times New Roman"/>
          <w:lang w:val="en-GB"/>
        </w:rPr>
        <w:t>d</w:t>
      </w:r>
      <w:r w:rsidRPr="00085FA6">
        <w:rPr>
          <w:rFonts w:ascii="Times New Roman" w:hAnsi="Times New Roman" w:cs="Times New Roman"/>
          <w:lang w:val="en-GB"/>
        </w:rPr>
        <w:t xml:space="preserve"> that 0.5 % of the agricultural land</w:t>
      </w:r>
      <w:r>
        <w:rPr>
          <w:rStyle w:val="FootnoteReference"/>
          <w:rFonts w:ascii="Times New Roman" w:hAnsi="Times New Roman" w:cs="Times New Roman"/>
          <w:lang w:val="en-GB"/>
        </w:rPr>
        <w:footnoteReference w:id="14"/>
      </w:r>
      <w:r w:rsidRPr="00085FA6">
        <w:rPr>
          <w:rFonts w:ascii="Times New Roman" w:hAnsi="Times New Roman" w:cs="Times New Roman"/>
          <w:lang w:val="en-GB"/>
        </w:rPr>
        <w:t xml:space="preserve"> will be made available for solar power plants in each model country </w:t>
      </w:r>
      <w:r>
        <w:rPr>
          <w:rFonts w:ascii="Times New Roman" w:hAnsi="Times New Roman" w:cs="Times New Roman"/>
          <w:lang w:val="en-GB"/>
        </w:rPr>
        <w:t>by</w:t>
      </w:r>
      <w:r w:rsidRPr="00085FA6">
        <w:rPr>
          <w:rFonts w:ascii="Times New Roman" w:hAnsi="Times New Roman" w:cs="Times New Roman"/>
          <w:lang w:val="en-GB"/>
        </w:rPr>
        <w:t xml:space="preserve"> 2050. We also assume that the access to land for solar power production changes over time, in that </w:t>
      </w:r>
      <w:r>
        <w:rPr>
          <w:rFonts w:ascii="Times New Roman" w:hAnsi="Times New Roman" w:cs="Times New Roman"/>
          <w:lang w:val="en-GB"/>
        </w:rPr>
        <w:t>it gradually becomes</w:t>
      </w:r>
      <w:r w:rsidRPr="00085FA6">
        <w:rPr>
          <w:rFonts w:ascii="Times New Roman" w:hAnsi="Times New Roman" w:cs="Times New Roman"/>
          <w:lang w:val="en-GB"/>
        </w:rPr>
        <w:t xml:space="preserve"> available towards 2050.  </w:t>
      </w:r>
      <w:r w:rsidRPr="00E67B7F">
        <w:rPr>
          <w:rFonts w:ascii="Times New Roman" w:hAnsi="Times New Roman" w:cs="Times New Roman"/>
          <w:lang w:val="en-GB"/>
        </w:rPr>
        <w:t xml:space="preserve">We use the following function: </w:t>
      </w:r>
      <w:proofErr w:type="gramStart"/>
      <w:r w:rsidRPr="00E67B7F">
        <w:rPr>
          <w:rFonts w:ascii="Times New Roman" w:hAnsi="Times New Roman" w:cs="Times New Roman"/>
          <w:lang w:val="en-GB"/>
        </w:rPr>
        <w:t>b(</w:t>
      </w:r>
      <w:proofErr w:type="gramEnd"/>
      <w:r w:rsidRPr="00E67B7F">
        <w:rPr>
          <w:rFonts w:ascii="Times New Roman" w:hAnsi="Times New Roman" w:cs="Times New Roman"/>
          <w:lang w:val="en-GB"/>
        </w:rPr>
        <w:t>t)=k*</w:t>
      </w:r>
      <w:proofErr w:type="spellStart"/>
      <w:r w:rsidRPr="00E67B7F">
        <w:rPr>
          <w:rFonts w:ascii="Times New Roman" w:hAnsi="Times New Roman" w:cs="Times New Roman"/>
          <w:lang w:val="en-GB"/>
        </w:rPr>
        <w:t>eksp</w:t>
      </w:r>
      <w:proofErr w:type="spellEnd"/>
      <w:r w:rsidRPr="00E67B7F">
        <w:rPr>
          <w:rFonts w:ascii="Times New Roman" w:hAnsi="Times New Roman" w:cs="Times New Roman"/>
          <w:lang w:val="en-GB"/>
        </w:rPr>
        <w:t xml:space="preserve">(-a*(t-2009)), where k=2.501630631 and a= 0.022364458, so that b(2050)=1.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IEA ETSAP (2011) has data for land use (m</w:t>
      </w:r>
      <w:r w:rsidRPr="00085FA6">
        <w:rPr>
          <w:rFonts w:ascii="Times New Roman" w:hAnsi="Times New Roman" w:cs="Times New Roman"/>
          <w:vertAlign w:val="superscript"/>
          <w:lang w:val="en-GB"/>
        </w:rPr>
        <w:t>2</w:t>
      </w:r>
      <w:r w:rsidRPr="00085FA6">
        <w:rPr>
          <w:rFonts w:ascii="Times New Roman" w:hAnsi="Times New Roman" w:cs="Times New Roman"/>
          <w:lang w:val="en-GB"/>
        </w:rPr>
        <w:t>/kW) for PV technologies. For Crystalline Si PV cells their “typical current international range” is between 6 and 9 m</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/kW. </w:t>
      </w:r>
      <w:r>
        <w:rPr>
          <w:rFonts w:ascii="Times New Roman" w:hAnsi="Times New Roman" w:cs="Times New Roman"/>
          <w:lang w:val="en-GB"/>
        </w:rPr>
        <w:t>In the model</w:t>
      </w:r>
      <w:r w:rsidRPr="00085FA6">
        <w:rPr>
          <w:rFonts w:ascii="Times New Roman" w:hAnsi="Times New Roman" w:cs="Times New Roman"/>
          <w:lang w:val="en-GB"/>
        </w:rPr>
        <w:t xml:space="preserve"> 7 m</w:t>
      </w:r>
      <w:r w:rsidRPr="00085FA6">
        <w:rPr>
          <w:rFonts w:ascii="Times New Roman" w:hAnsi="Times New Roman" w:cs="Times New Roman"/>
          <w:vertAlign w:val="superscript"/>
          <w:lang w:val="en-GB"/>
        </w:rPr>
        <w:t>2</w:t>
      </w:r>
      <w:r w:rsidRPr="00085FA6">
        <w:rPr>
          <w:rFonts w:ascii="Times New Roman" w:hAnsi="Times New Roman" w:cs="Times New Roman"/>
          <w:lang w:val="en-GB"/>
        </w:rPr>
        <w:t>/kW</w:t>
      </w:r>
      <w:r>
        <w:rPr>
          <w:rFonts w:ascii="Times New Roman" w:hAnsi="Times New Roman" w:cs="Times New Roman"/>
          <w:lang w:val="en-GB"/>
        </w:rPr>
        <w:t xml:space="preserve"> has been used</w:t>
      </w:r>
      <w:r w:rsidRPr="00085FA6">
        <w:rPr>
          <w:rFonts w:ascii="Times New Roman" w:hAnsi="Times New Roman" w:cs="Times New Roman"/>
          <w:lang w:val="en-GB"/>
        </w:rPr>
        <w:t>, which means that 7 m</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 is required to generate 1 kW instantly under optimal conditions. </w:t>
      </w:r>
      <w:r>
        <w:rPr>
          <w:rFonts w:ascii="Times New Roman" w:hAnsi="Times New Roman" w:cs="Times New Roman"/>
          <w:lang w:val="en-GB"/>
        </w:rPr>
        <w:t>Maximum</w:t>
      </w:r>
      <w:r w:rsidRPr="00085FA6">
        <w:rPr>
          <w:rFonts w:ascii="Times New Roman" w:hAnsi="Times New Roman" w:cs="Times New Roman"/>
          <w:lang w:val="en-GB"/>
        </w:rPr>
        <w:t xml:space="preserve"> module efficiency</w:t>
      </w:r>
      <w:r>
        <w:rPr>
          <w:rFonts w:ascii="Times New Roman" w:hAnsi="Times New Roman" w:cs="Times New Roman"/>
          <w:lang w:val="en-GB"/>
        </w:rPr>
        <w:t xml:space="preserve"> for </w:t>
      </w:r>
      <w:r w:rsidRPr="00085FA6">
        <w:rPr>
          <w:rFonts w:ascii="Times New Roman" w:hAnsi="Times New Roman" w:cs="Times New Roman"/>
          <w:lang w:val="en-GB"/>
        </w:rPr>
        <w:t>PV panel</w:t>
      </w:r>
      <w:r>
        <w:rPr>
          <w:rFonts w:ascii="Times New Roman" w:hAnsi="Times New Roman" w:cs="Times New Roman"/>
          <w:lang w:val="en-GB"/>
        </w:rPr>
        <w:t>s</w:t>
      </w:r>
      <w:r w:rsidRPr="00085FA6">
        <w:rPr>
          <w:rFonts w:ascii="Times New Roman" w:hAnsi="Times New Roman" w:cs="Times New Roman"/>
          <w:lang w:val="en-GB"/>
        </w:rPr>
        <w:t xml:space="preserve"> </w:t>
      </w:r>
      <w:r>
        <w:rPr>
          <w:rFonts w:ascii="Times New Roman" w:hAnsi="Times New Roman" w:cs="Times New Roman"/>
          <w:lang w:val="en-GB"/>
        </w:rPr>
        <w:t xml:space="preserve">of </w:t>
      </w:r>
      <w:r w:rsidRPr="00085FA6">
        <w:rPr>
          <w:rFonts w:ascii="Times New Roman" w:hAnsi="Times New Roman" w:cs="Times New Roman"/>
          <w:lang w:val="en-GB"/>
        </w:rPr>
        <w:t>18 %</w:t>
      </w:r>
      <w:r>
        <w:rPr>
          <w:rFonts w:ascii="Times New Roman" w:hAnsi="Times New Roman" w:cs="Times New Roman"/>
          <w:lang w:val="en-GB"/>
        </w:rPr>
        <w:t xml:space="preserve"> is assumed</w:t>
      </w:r>
      <w:r w:rsidRPr="00085FA6">
        <w:rPr>
          <w:rFonts w:ascii="Times New Roman" w:hAnsi="Times New Roman" w:cs="Times New Roman"/>
          <w:lang w:val="en-GB"/>
        </w:rPr>
        <w:t xml:space="preserve">, based on the assumptions in IEA ETSAP (2011) and IPCC (2011). </w:t>
      </w:r>
    </w:p>
    <w:p w:rsidR="00EA0538" w:rsidRPr="00085FA6" w:rsidRDefault="00EA0538" w:rsidP="00EA0538">
      <w:pPr>
        <w:jc w:val="both"/>
        <w:rPr>
          <w:rFonts w:ascii="Times New Roman" w:hAnsi="Times New Roman" w:cs="Times New Roman"/>
          <w:lang w:val="en-GB"/>
        </w:rPr>
      </w:pPr>
    </w:p>
    <w:p w:rsidR="00EA0538" w:rsidRPr="00085FA6" w:rsidRDefault="00EA0538" w:rsidP="00EA0538">
      <w:pPr>
        <w:pStyle w:val="Heading3"/>
        <w:jc w:val="both"/>
        <w:rPr>
          <w:rFonts w:ascii="Times New Roman" w:hAnsi="Times New Roman" w:cs="Times New Roman"/>
          <w:lang w:val="en-GB"/>
        </w:rPr>
      </w:pPr>
      <w:bookmarkStart w:id="13" w:name="_Toc386631726"/>
      <w:r w:rsidRPr="00085FA6">
        <w:rPr>
          <w:rFonts w:ascii="Times New Roman" w:hAnsi="Times New Roman" w:cs="Times New Roman"/>
          <w:lang w:val="en-GB"/>
        </w:rPr>
        <w:t>3.2.4 Wind power</w:t>
      </w:r>
      <w:bookmarkEnd w:id="13"/>
      <w:r w:rsidRPr="00085FA6">
        <w:rPr>
          <w:rFonts w:ascii="Times New Roman" w:hAnsi="Times New Roman" w:cs="Times New Roman"/>
          <w:lang w:val="en-GB"/>
        </w:rPr>
        <w:t xml:space="preserve"> </w:t>
      </w:r>
    </w:p>
    <w:p w:rsidR="00EA0538" w:rsidRPr="00085FA6" w:rsidRDefault="00EA0538" w:rsidP="00EA0538">
      <w:pPr>
        <w:jc w:val="both"/>
        <w:rPr>
          <w:rFonts w:ascii="Times New Roman" w:hAnsi="Times New Roman" w:cs="Times New Roman"/>
          <w:i/>
          <w:color w:val="FF0000"/>
          <w:lang w:val="en-GB"/>
        </w:rPr>
      </w:pPr>
      <w:r w:rsidRPr="00085FA6">
        <w:rPr>
          <w:rFonts w:ascii="Times New Roman" w:hAnsi="Times New Roman" w:cs="Times New Roman"/>
          <w:lang w:val="en-GB"/>
        </w:rPr>
        <w:t xml:space="preserve">The wind power potential in the model countries has been found using data from several sources. The load hours for wind energy in each model country is based on information from Storm Weather Centre, EEA (2009) and </w:t>
      </w:r>
      <w:proofErr w:type="spellStart"/>
      <w:r w:rsidRPr="00085FA6">
        <w:rPr>
          <w:rFonts w:ascii="Times New Roman" w:hAnsi="Times New Roman" w:cs="Times New Roman"/>
          <w:lang w:val="en-GB"/>
        </w:rPr>
        <w:t>Hoefnagels</w:t>
      </w:r>
      <w:proofErr w:type="spellEnd"/>
      <w:r w:rsidRPr="00085FA6">
        <w:rPr>
          <w:rFonts w:ascii="Times New Roman" w:hAnsi="Times New Roman" w:cs="Times New Roman"/>
          <w:lang w:val="en-GB"/>
        </w:rPr>
        <w:t xml:space="preserve"> et al. (2011a). From these sources we found the “best” location for wind power in each model country, with annual load hours ranging from 1500 to 3700. The load hours are defined as the ratio between annual electricity output of a wind turbine and its rated capacity (for details on how this is estimated see </w:t>
      </w:r>
      <w:proofErr w:type="spellStart"/>
      <w:r w:rsidRPr="00085FA6">
        <w:rPr>
          <w:rFonts w:ascii="Times New Roman" w:hAnsi="Times New Roman" w:cs="Times New Roman"/>
          <w:lang w:val="en-GB"/>
        </w:rPr>
        <w:t>Hoefnagels</w:t>
      </w:r>
      <w:proofErr w:type="spellEnd"/>
      <w:r w:rsidRPr="00085FA6">
        <w:rPr>
          <w:rFonts w:ascii="Times New Roman" w:hAnsi="Times New Roman" w:cs="Times New Roman"/>
          <w:lang w:val="en-GB"/>
        </w:rPr>
        <w:t xml:space="preserve"> et al. (2011a)). </w:t>
      </w:r>
    </w:p>
    <w:p w:rsidR="00EA0538" w:rsidRDefault="00EA0538" w:rsidP="00EA0538">
      <w:pPr>
        <w:jc w:val="both"/>
        <w:rPr>
          <w:rFonts w:ascii="Times New Roman" w:hAnsi="Times New Roman" w:cs="Times New Roman"/>
          <w:lang w:val="en-GB"/>
        </w:rPr>
      </w:pPr>
      <w:proofErr w:type="spellStart"/>
      <w:r>
        <w:rPr>
          <w:rFonts w:ascii="Times New Roman" w:hAnsi="Times New Roman" w:cs="Times New Roman"/>
          <w:lang w:val="en-GB"/>
        </w:rPr>
        <w:t>Eerens</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Visser</w:t>
      </w:r>
      <w:proofErr w:type="spellEnd"/>
      <w:r w:rsidRPr="00085FA6">
        <w:rPr>
          <w:rFonts w:ascii="Times New Roman" w:hAnsi="Times New Roman" w:cs="Times New Roman"/>
          <w:lang w:val="en-GB"/>
        </w:rPr>
        <w:t xml:space="preserve"> (2008)</w:t>
      </w:r>
      <w:r>
        <w:rPr>
          <w:rFonts w:ascii="Times New Roman" w:hAnsi="Times New Roman" w:cs="Times New Roman"/>
          <w:lang w:val="en-GB"/>
        </w:rPr>
        <w:t xml:space="preserve"> </w:t>
      </w:r>
      <w:proofErr w:type="gramStart"/>
      <w:r>
        <w:rPr>
          <w:rFonts w:ascii="Times New Roman" w:hAnsi="Times New Roman" w:cs="Times New Roman"/>
          <w:lang w:val="en-GB"/>
        </w:rPr>
        <w:t>has</w:t>
      </w:r>
      <w:proofErr w:type="gramEnd"/>
      <w:r>
        <w:rPr>
          <w:rFonts w:ascii="Times New Roman" w:hAnsi="Times New Roman" w:cs="Times New Roman"/>
          <w:lang w:val="en-GB"/>
        </w:rPr>
        <w:t xml:space="preserve"> data for wind power potential in Europe</w:t>
      </w:r>
      <w:r w:rsidRPr="00085FA6">
        <w:rPr>
          <w:rFonts w:ascii="Times New Roman" w:hAnsi="Times New Roman" w:cs="Times New Roman"/>
          <w:lang w:val="en-GB"/>
        </w:rPr>
        <w:t xml:space="preserve">. </w:t>
      </w:r>
      <w:r>
        <w:rPr>
          <w:rFonts w:ascii="Times New Roman" w:hAnsi="Times New Roman" w:cs="Times New Roman"/>
          <w:lang w:val="en-GB"/>
        </w:rPr>
        <w:t xml:space="preserve">The report has a technical potential for each country, which is then reduced by excluding all sites with wind speeds below 4 m/s and land where biodiversity issues could prevent development (all land registered in the </w:t>
      </w:r>
      <w:proofErr w:type="spellStart"/>
      <w:r>
        <w:rPr>
          <w:rFonts w:ascii="Times New Roman" w:hAnsi="Times New Roman" w:cs="Times New Roman"/>
          <w:lang w:val="en-GB"/>
        </w:rPr>
        <w:t>Natura</w:t>
      </w:r>
      <w:proofErr w:type="spellEnd"/>
      <w:r>
        <w:rPr>
          <w:rFonts w:ascii="Times New Roman" w:hAnsi="Times New Roman" w:cs="Times New Roman"/>
          <w:lang w:val="en-GB"/>
        </w:rPr>
        <w:t xml:space="preserve"> 2000 database or as nationally designated areas (CDDA)). For each country the remaining </w:t>
      </w:r>
      <w:r w:rsidRPr="00085FA6">
        <w:rPr>
          <w:rFonts w:ascii="Times New Roman" w:hAnsi="Times New Roman" w:cs="Times New Roman"/>
          <w:lang w:val="en-GB"/>
        </w:rPr>
        <w:t>generation potential</w:t>
      </w:r>
      <w:r>
        <w:rPr>
          <w:rFonts w:ascii="Times New Roman" w:hAnsi="Times New Roman" w:cs="Times New Roman"/>
          <w:lang w:val="en-GB"/>
        </w:rPr>
        <w:t xml:space="preserve">, referred to as market potential, has been categorised </w:t>
      </w:r>
      <w:r w:rsidRPr="00085FA6">
        <w:rPr>
          <w:rFonts w:ascii="Times New Roman" w:hAnsi="Times New Roman" w:cs="Times New Roman"/>
          <w:lang w:val="en-GB"/>
        </w:rPr>
        <w:t>in</w:t>
      </w:r>
      <w:r>
        <w:rPr>
          <w:rFonts w:ascii="Times New Roman" w:hAnsi="Times New Roman" w:cs="Times New Roman"/>
          <w:lang w:val="en-GB"/>
        </w:rPr>
        <w:t>to</w:t>
      </w:r>
      <w:r w:rsidRPr="00085FA6">
        <w:rPr>
          <w:rFonts w:ascii="Times New Roman" w:hAnsi="Times New Roman" w:cs="Times New Roman"/>
          <w:lang w:val="en-GB"/>
        </w:rPr>
        <w:t xml:space="preserve"> different cost classes. </w:t>
      </w:r>
      <w:r w:rsidRPr="00C3421C">
        <w:rPr>
          <w:rFonts w:ascii="Times New Roman" w:hAnsi="Times New Roman" w:cs="Times New Roman"/>
          <w:lang w:val="en-GB"/>
        </w:rPr>
        <w:t xml:space="preserve">These are labelled “Not competitive”, “Most likely competitive” and “Competitive”. The potential within the “Not competitive” are sites with average production costs between 0.173 and 0.071 €/kWh, whereas the “Most likely competitive” and “Competitive” have an average production cost ranging from 0.048 to 0.023 €/kWh. All three categories are given for 2020 and 2030. </w:t>
      </w:r>
      <w:r>
        <w:rPr>
          <w:rFonts w:ascii="Times New Roman" w:hAnsi="Times New Roman" w:cs="Times New Roman"/>
          <w:lang w:val="en-GB"/>
        </w:rPr>
        <w:t xml:space="preserve">In the model 10 % of the total </w:t>
      </w:r>
      <w:r w:rsidRPr="00C3421C">
        <w:rPr>
          <w:rFonts w:ascii="Times New Roman" w:hAnsi="Times New Roman" w:cs="Times New Roman"/>
          <w:lang w:val="en-GB"/>
        </w:rPr>
        <w:t>potential given for the two cost classes “Most likely competitive” and “Competitive”</w:t>
      </w:r>
      <w:r>
        <w:rPr>
          <w:rFonts w:ascii="Times New Roman" w:hAnsi="Times New Roman" w:cs="Times New Roman"/>
          <w:lang w:val="en-GB"/>
        </w:rPr>
        <w:t xml:space="preserve"> for 2030 has been used.</w:t>
      </w:r>
      <w:r w:rsidRPr="00C3421C">
        <w:rPr>
          <w:rFonts w:ascii="Times New Roman" w:hAnsi="Times New Roman" w:cs="Times New Roman"/>
          <w:lang w:val="en-GB"/>
        </w:rPr>
        <w:t xml:space="preserve"> It is assumed that there is a cost reduction for electricity generation from onshore wind which falls from 1000 </w:t>
      </w:r>
      <w:r>
        <w:rPr>
          <w:rFonts w:ascii="Times New Roman" w:hAnsi="Times New Roman" w:cs="Times New Roman"/>
          <w:lang w:val="en-GB"/>
        </w:rPr>
        <w:t>€/</w:t>
      </w:r>
      <w:r w:rsidRPr="00C3421C">
        <w:rPr>
          <w:rFonts w:ascii="Times New Roman" w:hAnsi="Times New Roman" w:cs="Times New Roman"/>
          <w:lang w:val="en-GB"/>
        </w:rPr>
        <w:t>kW in 2005 to 576 €/kW in 2030.</w:t>
      </w:r>
    </w:p>
    <w:p w:rsidR="00EA0538" w:rsidRPr="000D0AB8" w:rsidRDefault="00EA0538" w:rsidP="00EA0538">
      <w:pPr>
        <w:rPr>
          <w:rFonts w:ascii="Times New Roman" w:hAnsi="Times New Roman" w:cs="Times New Roman"/>
          <w:b/>
          <w:sz w:val="20"/>
          <w:szCs w:val="20"/>
          <w:lang w:val="en-GB"/>
        </w:rPr>
      </w:pPr>
      <w:r w:rsidRPr="000D0AB8">
        <w:rPr>
          <w:rFonts w:ascii="Times New Roman" w:hAnsi="Times New Roman" w:cs="Times New Roman"/>
          <w:b/>
          <w:sz w:val="20"/>
          <w:szCs w:val="20"/>
          <w:lang w:val="en-GB"/>
        </w:rPr>
        <w:t>Table 3 Wind hours at best site and wind power potential in model countries</w:t>
      </w:r>
    </w:p>
    <w:tbl>
      <w:tblPr>
        <w:tblStyle w:val="LightShading-Accent1"/>
        <w:tblW w:w="10682" w:type="dxa"/>
        <w:tblLook w:val="04A0" w:firstRow="1" w:lastRow="0" w:firstColumn="1" w:lastColumn="0" w:noHBand="0" w:noVBand="1"/>
      </w:tblPr>
      <w:tblGrid>
        <w:gridCol w:w="959"/>
        <w:gridCol w:w="1276"/>
        <w:gridCol w:w="1190"/>
        <w:gridCol w:w="1361"/>
        <w:gridCol w:w="284"/>
        <w:gridCol w:w="992"/>
        <w:gridCol w:w="1276"/>
        <w:gridCol w:w="141"/>
        <w:gridCol w:w="1560"/>
        <w:gridCol w:w="1643"/>
      </w:tblGrid>
      <w:tr w:rsidR="00EA0538" w:rsidRPr="004F2631"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4F2631" w:rsidRDefault="00EA0538" w:rsidP="005F3031">
            <w:pPr>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Country</w:t>
            </w:r>
          </w:p>
        </w:tc>
        <w:tc>
          <w:tcPr>
            <w:tcW w:w="1276"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lang w:val="en-GB"/>
              </w:rPr>
            </w:pPr>
            <w:r w:rsidRPr="004F2631">
              <w:rPr>
                <w:rFonts w:ascii="Times New Roman" w:hAnsi="Times New Roman" w:cs="Times New Roman"/>
                <w:b w:val="0"/>
                <w:sz w:val="20"/>
                <w:szCs w:val="20"/>
                <w:lang w:val="en-GB"/>
              </w:rPr>
              <w:t>Best</w:t>
            </w:r>
            <w:r>
              <w:rPr>
                <w:rFonts w:ascii="Times New Roman" w:hAnsi="Times New Roman" w:cs="Times New Roman"/>
                <w:b w:val="0"/>
                <w:sz w:val="20"/>
                <w:szCs w:val="20"/>
                <w:lang w:val="en-GB"/>
              </w:rPr>
              <w:t xml:space="preserve">      </w:t>
            </w:r>
            <w:r w:rsidRPr="004F2631">
              <w:rPr>
                <w:rFonts w:ascii="Times New Roman" w:hAnsi="Times New Roman" w:cs="Times New Roman"/>
                <w:b w:val="0"/>
                <w:i/>
                <w:sz w:val="20"/>
                <w:szCs w:val="20"/>
                <w:lang w:val="en-GB"/>
              </w:rPr>
              <w:t>(load hours)</w:t>
            </w:r>
          </w:p>
        </w:tc>
        <w:tc>
          <w:tcPr>
            <w:tcW w:w="1190"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Potential</w:t>
            </w:r>
            <w:r>
              <w:rPr>
                <w:rFonts w:ascii="Times New Roman" w:hAnsi="Times New Roman" w:cs="Times New Roman"/>
                <w:b w:val="0"/>
                <w:sz w:val="20"/>
                <w:szCs w:val="20"/>
                <w:lang w:val="en-GB"/>
              </w:rPr>
              <w:t>*</w:t>
            </w:r>
          </w:p>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lang w:val="en-GB"/>
              </w:rPr>
            </w:pPr>
            <w:r w:rsidRPr="004F2631">
              <w:rPr>
                <w:rFonts w:ascii="Times New Roman" w:hAnsi="Times New Roman" w:cs="Times New Roman"/>
                <w:b w:val="0"/>
                <w:sz w:val="20"/>
                <w:szCs w:val="20"/>
                <w:lang w:val="en-GB"/>
              </w:rPr>
              <w:t>2020</w:t>
            </w:r>
            <w:r w:rsidRPr="004F2631">
              <w:rPr>
                <w:rFonts w:ascii="Times New Roman" w:hAnsi="Times New Roman" w:cs="Times New Roman"/>
                <w:b w:val="0"/>
                <w:i/>
                <w:sz w:val="20"/>
                <w:szCs w:val="20"/>
                <w:lang w:val="en-GB"/>
              </w:rPr>
              <w:t xml:space="preserve"> (</w:t>
            </w:r>
            <w:proofErr w:type="spellStart"/>
            <w:r w:rsidRPr="004F2631">
              <w:rPr>
                <w:rFonts w:ascii="Times New Roman" w:hAnsi="Times New Roman" w:cs="Times New Roman"/>
                <w:b w:val="0"/>
                <w:i/>
                <w:sz w:val="20"/>
                <w:szCs w:val="20"/>
                <w:lang w:val="en-GB"/>
              </w:rPr>
              <w:t>TWh</w:t>
            </w:r>
            <w:proofErr w:type="spellEnd"/>
            <w:r w:rsidRPr="004F2631">
              <w:rPr>
                <w:rFonts w:ascii="Times New Roman" w:hAnsi="Times New Roman" w:cs="Times New Roman"/>
                <w:b w:val="0"/>
                <w:i/>
                <w:sz w:val="20"/>
                <w:szCs w:val="20"/>
                <w:lang w:val="en-GB"/>
              </w:rPr>
              <w:t>)</w:t>
            </w:r>
          </w:p>
        </w:tc>
        <w:tc>
          <w:tcPr>
            <w:tcW w:w="1361"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Potential</w:t>
            </w:r>
            <w:r>
              <w:rPr>
                <w:rFonts w:ascii="Times New Roman" w:hAnsi="Times New Roman" w:cs="Times New Roman"/>
                <w:b w:val="0"/>
                <w:sz w:val="20"/>
                <w:szCs w:val="20"/>
                <w:lang w:val="en-GB"/>
              </w:rPr>
              <w:t>*</w:t>
            </w:r>
            <w:r w:rsidRPr="004F2631">
              <w:rPr>
                <w:rFonts w:ascii="Times New Roman" w:hAnsi="Times New Roman" w:cs="Times New Roman"/>
                <w:b w:val="0"/>
                <w:sz w:val="20"/>
                <w:szCs w:val="20"/>
                <w:lang w:val="en-GB"/>
              </w:rPr>
              <w:t xml:space="preserve"> 2030 (</w:t>
            </w:r>
            <w:proofErr w:type="spellStart"/>
            <w:r w:rsidRPr="004F2631">
              <w:rPr>
                <w:rFonts w:ascii="Times New Roman" w:hAnsi="Times New Roman" w:cs="Times New Roman"/>
                <w:b w:val="0"/>
                <w:sz w:val="20"/>
                <w:szCs w:val="20"/>
                <w:lang w:val="en-GB"/>
              </w:rPr>
              <w:t>TWh</w:t>
            </w:r>
            <w:proofErr w:type="spellEnd"/>
            <w:r w:rsidRPr="004F2631">
              <w:rPr>
                <w:rFonts w:ascii="Times New Roman" w:hAnsi="Times New Roman" w:cs="Times New Roman"/>
                <w:b w:val="0"/>
                <w:sz w:val="20"/>
                <w:szCs w:val="20"/>
                <w:lang w:val="en-GB"/>
              </w:rPr>
              <w:t>)</w:t>
            </w:r>
          </w:p>
        </w:tc>
        <w:tc>
          <w:tcPr>
            <w:tcW w:w="284"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992"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Country</w:t>
            </w:r>
          </w:p>
        </w:tc>
        <w:tc>
          <w:tcPr>
            <w:tcW w:w="1276"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Best</w:t>
            </w:r>
          </w:p>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lang w:val="en-GB"/>
              </w:rPr>
            </w:pPr>
            <w:r w:rsidRPr="004F2631">
              <w:rPr>
                <w:rFonts w:ascii="Times New Roman" w:hAnsi="Times New Roman" w:cs="Times New Roman"/>
                <w:b w:val="0"/>
                <w:i/>
                <w:sz w:val="20"/>
                <w:szCs w:val="20"/>
                <w:lang w:val="en-GB"/>
              </w:rPr>
              <w:t>(load hours)</w:t>
            </w:r>
          </w:p>
        </w:tc>
        <w:tc>
          <w:tcPr>
            <w:tcW w:w="1701" w:type="dxa"/>
            <w:gridSpan w:val="2"/>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Potential</w:t>
            </w:r>
            <w:r>
              <w:rPr>
                <w:rFonts w:ascii="Times New Roman" w:hAnsi="Times New Roman" w:cs="Times New Roman"/>
                <w:b w:val="0"/>
                <w:sz w:val="20"/>
                <w:szCs w:val="20"/>
                <w:lang w:val="en-GB"/>
              </w:rPr>
              <w:t>*</w:t>
            </w:r>
          </w:p>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lang w:val="en-GB"/>
              </w:rPr>
            </w:pPr>
            <w:r w:rsidRPr="004F2631">
              <w:rPr>
                <w:rFonts w:ascii="Times New Roman" w:hAnsi="Times New Roman" w:cs="Times New Roman"/>
                <w:b w:val="0"/>
                <w:i/>
                <w:sz w:val="20"/>
                <w:szCs w:val="20"/>
                <w:lang w:val="en-GB"/>
              </w:rPr>
              <w:t>2020 (</w:t>
            </w:r>
            <w:proofErr w:type="spellStart"/>
            <w:r w:rsidRPr="004F2631">
              <w:rPr>
                <w:rFonts w:ascii="Times New Roman" w:hAnsi="Times New Roman" w:cs="Times New Roman"/>
                <w:b w:val="0"/>
                <w:i/>
                <w:sz w:val="20"/>
                <w:szCs w:val="20"/>
                <w:lang w:val="en-GB"/>
              </w:rPr>
              <w:t>TWh</w:t>
            </w:r>
            <w:proofErr w:type="spellEnd"/>
            <w:r w:rsidRPr="004F2631">
              <w:rPr>
                <w:rFonts w:ascii="Times New Roman" w:hAnsi="Times New Roman" w:cs="Times New Roman"/>
                <w:b w:val="0"/>
                <w:i/>
                <w:sz w:val="20"/>
                <w:szCs w:val="20"/>
                <w:lang w:val="en-GB"/>
              </w:rPr>
              <w:t>)</w:t>
            </w:r>
          </w:p>
        </w:tc>
        <w:tc>
          <w:tcPr>
            <w:tcW w:w="1643" w:type="dxa"/>
          </w:tcPr>
          <w:p w:rsidR="00EA0538" w:rsidRPr="004F2631"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F2631">
              <w:rPr>
                <w:rFonts w:ascii="Times New Roman" w:hAnsi="Times New Roman" w:cs="Times New Roman"/>
                <w:b w:val="0"/>
                <w:sz w:val="20"/>
                <w:szCs w:val="20"/>
                <w:lang w:val="en-GB"/>
              </w:rPr>
              <w:t>Potential</w:t>
            </w:r>
            <w:r>
              <w:rPr>
                <w:rFonts w:ascii="Times New Roman" w:hAnsi="Times New Roman" w:cs="Times New Roman"/>
                <w:b w:val="0"/>
                <w:sz w:val="20"/>
                <w:szCs w:val="20"/>
                <w:lang w:val="en-GB"/>
              </w:rPr>
              <w:t>*</w:t>
            </w:r>
            <w:r w:rsidRPr="004F2631">
              <w:rPr>
                <w:rFonts w:ascii="Times New Roman" w:hAnsi="Times New Roman" w:cs="Times New Roman"/>
                <w:b w:val="0"/>
                <w:sz w:val="20"/>
                <w:szCs w:val="20"/>
                <w:lang w:val="en-GB"/>
              </w:rPr>
              <w:t xml:space="preserve"> 2030 (</w:t>
            </w:r>
            <w:proofErr w:type="spellStart"/>
            <w:r w:rsidRPr="004F2631">
              <w:rPr>
                <w:rFonts w:ascii="Times New Roman" w:hAnsi="Times New Roman" w:cs="Times New Roman"/>
                <w:b w:val="0"/>
                <w:sz w:val="20"/>
                <w:szCs w:val="20"/>
                <w:lang w:val="en-GB"/>
              </w:rPr>
              <w:t>TWh</w:t>
            </w:r>
            <w:proofErr w:type="spellEnd"/>
            <w:r w:rsidRPr="004F2631">
              <w:rPr>
                <w:rFonts w:ascii="Times New Roman" w:hAnsi="Times New Roman" w:cs="Times New Roman"/>
                <w:b w:val="0"/>
                <w:sz w:val="20"/>
                <w:szCs w:val="20"/>
                <w:lang w:val="en-GB"/>
              </w:rPr>
              <w:t>)</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AT</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26.7</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IE</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3400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131.5</w:t>
            </w:r>
          </w:p>
        </w:tc>
        <w:tc>
          <w:tcPr>
            <w:tcW w:w="1643"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131.5</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BE</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2800</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6.5</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43.7</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IS</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3700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35.95</w:t>
            </w:r>
          </w:p>
        </w:tc>
        <w:tc>
          <w:tcPr>
            <w:tcW w:w="1643"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81.1</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BG</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2500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4.8</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27.9</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IT</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16.9</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58.1</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CH</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1700</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0.4</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LT</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3000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4.3</w:t>
            </w:r>
          </w:p>
        </w:tc>
        <w:tc>
          <w:tcPr>
            <w:tcW w:w="1643"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74.4</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CY</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1500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1.2</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LU</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CZ</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2093</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51.9</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LV</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3000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23.9</w:t>
            </w:r>
          </w:p>
        </w:tc>
        <w:tc>
          <w:tcPr>
            <w:tcW w:w="1643"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85.3</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lastRenderedPageBreak/>
              <w:t>DE</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2500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64.2</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367.3</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MT</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0.7</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DK</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3200</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75.2</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75.2</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NL</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2800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31.6</w:t>
            </w:r>
          </w:p>
        </w:tc>
        <w:tc>
          <w:tcPr>
            <w:tcW w:w="1643"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55.3</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EE</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2500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25.3</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67.2</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NO</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3700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71.9</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162.1</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ES</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2500</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43.3</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170.0</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PL</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3000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24.6</w:t>
            </w:r>
          </w:p>
        </w:tc>
        <w:tc>
          <w:tcPr>
            <w:tcW w:w="1643"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364.4</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FI</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3100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40.2</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441.1</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PT</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3000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7.6</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46.8</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FR</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2500</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130.9</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452.4</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RO</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5.7</w:t>
            </w:r>
          </w:p>
        </w:tc>
        <w:tc>
          <w:tcPr>
            <w:tcW w:w="1643"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47</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GB</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3400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440.8</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440.9</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SE</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3100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114.8</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456</w:t>
            </w:r>
          </w:p>
        </w:tc>
      </w:tr>
      <w:tr w:rsidR="00EA0538" w:rsidRPr="00292556" w:rsidTr="005F3031">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GR</w:t>
            </w:r>
          </w:p>
        </w:tc>
        <w:tc>
          <w:tcPr>
            <w:tcW w:w="1276" w:type="dxa"/>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3000</w:t>
            </w:r>
          </w:p>
        </w:tc>
        <w:tc>
          <w:tcPr>
            <w:tcW w:w="119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30.5</w:t>
            </w:r>
          </w:p>
        </w:tc>
        <w:tc>
          <w:tcPr>
            <w:tcW w:w="1361" w:type="dxa"/>
          </w:tcPr>
          <w:p w:rsidR="00EA0538" w:rsidRPr="004F2631"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44.3</w:t>
            </w:r>
          </w:p>
        </w:tc>
        <w:tc>
          <w:tcPr>
            <w:tcW w:w="284" w:type="dxa"/>
          </w:tcPr>
          <w:p w:rsidR="00EA0538" w:rsidRPr="0029255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Pr>
                <w:rFonts w:cs="Times New Roman"/>
                <w:sz w:val="20"/>
                <w:szCs w:val="20"/>
                <w:lang w:val="en-GB"/>
              </w:rPr>
              <w:t>SI</w:t>
            </w:r>
          </w:p>
        </w:tc>
        <w:tc>
          <w:tcPr>
            <w:tcW w:w="1417" w:type="dxa"/>
            <w:gridSpan w:val="2"/>
          </w:tcPr>
          <w:p w:rsidR="00EA0538" w:rsidRPr="00292556"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560"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643" w:type="dxa"/>
          </w:tcPr>
          <w:p w:rsidR="00EA0538" w:rsidRPr="0029255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1.9</w:t>
            </w:r>
          </w:p>
        </w:tc>
      </w:tr>
      <w:tr w:rsidR="00EA0538" w:rsidRPr="00292556"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A0538" w:rsidRPr="006156AD" w:rsidRDefault="00EA0538" w:rsidP="005F3031">
            <w:pPr>
              <w:rPr>
                <w:rFonts w:cs="Times New Roman"/>
                <w:b w:val="0"/>
                <w:sz w:val="20"/>
                <w:szCs w:val="20"/>
                <w:lang w:val="en-GB"/>
              </w:rPr>
            </w:pPr>
            <w:r>
              <w:rPr>
                <w:rFonts w:cs="Times New Roman"/>
                <w:b w:val="0"/>
                <w:sz w:val="20"/>
                <w:szCs w:val="20"/>
                <w:lang w:val="en-GB"/>
              </w:rPr>
              <w:t>HU</w:t>
            </w:r>
          </w:p>
        </w:tc>
        <w:tc>
          <w:tcPr>
            <w:tcW w:w="1276" w:type="dxa"/>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19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361" w:type="dxa"/>
          </w:tcPr>
          <w:p w:rsidR="00EA0538" w:rsidRPr="004F2631"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21.4</w:t>
            </w:r>
          </w:p>
        </w:tc>
        <w:tc>
          <w:tcPr>
            <w:tcW w:w="284" w:type="dxa"/>
          </w:tcPr>
          <w:p w:rsidR="00EA0538" w:rsidRPr="00292556"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p>
        </w:tc>
        <w:tc>
          <w:tcPr>
            <w:tcW w:w="992" w:type="dxa"/>
          </w:tcPr>
          <w:p w:rsidR="00EA0538" w:rsidRPr="006156AD" w:rsidRDefault="00EA0538" w:rsidP="005F3031">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cs="Times New Roman"/>
                <w:sz w:val="20"/>
                <w:szCs w:val="20"/>
                <w:lang w:val="en-GB"/>
              </w:rPr>
              <w:t>SK</w:t>
            </w:r>
          </w:p>
        </w:tc>
        <w:tc>
          <w:tcPr>
            <w:tcW w:w="1417" w:type="dxa"/>
            <w:gridSpan w:val="2"/>
          </w:tcPr>
          <w:p w:rsidR="00EA0538" w:rsidRPr="00292556"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292556">
              <w:rPr>
                <w:rFonts w:ascii="Times New Roman" w:hAnsi="Times New Roman" w:cs="Times New Roman"/>
                <w:sz w:val="20"/>
                <w:szCs w:val="20"/>
                <w:lang w:val="en-GB"/>
              </w:rPr>
              <w:t>2000</w:t>
            </w:r>
          </w:p>
        </w:tc>
        <w:tc>
          <w:tcPr>
            <w:tcW w:w="1560"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643" w:type="dxa"/>
          </w:tcPr>
          <w:p w:rsidR="00EA0538" w:rsidRPr="0029255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13.9</w:t>
            </w:r>
          </w:p>
        </w:tc>
      </w:tr>
    </w:tbl>
    <w:p w:rsidR="00EA0538" w:rsidRPr="00FF79C1" w:rsidRDefault="00EA0538" w:rsidP="00EA0538">
      <w:pPr>
        <w:rPr>
          <w:rFonts w:ascii="Times New Roman" w:hAnsi="Times New Roman" w:cs="Times New Roman"/>
          <w:i/>
          <w:sz w:val="20"/>
          <w:szCs w:val="20"/>
          <w:lang w:val="en-GB"/>
        </w:rPr>
      </w:pPr>
      <w:r>
        <w:rPr>
          <w:rFonts w:ascii="Times New Roman" w:hAnsi="Times New Roman" w:cs="Times New Roman"/>
          <w:i/>
          <w:sz w:val="20"/>
          <w:szCs w:val="20"/>
          <w:lang w:val="en-GB"/>
        </w:rPr>
        <w:t xml:space="preserve">*The wind potentials in the model are 10 % of </w:t>
      </w:r>
      <w:proofErr w:type="spellStart"/>
      <w:r>
        <w:rPr>
          <w:rFonts w:ascii="Times New Roman" w:hAnsi="Times New Roman" w:cs="Times New Roman"/>
          <w:i/>
          <w:sz w:val="20"/>
          <w:szCs w:val="20"/>
          <w:lang w:val="en-GB"/>
        </w:rPr>
        <w:t>Hoefnagels</w:t>
      </w:r>
      <w:proofErr w:type="spellEnd"/>
      <w:r>
        <w:rPr>
          <w:rFonts w:ascii="Times New Roman" w:hAnsi="Times New Roman" w:cs="Times New Roman"/>
          <w:i/>
          <w:sz w:val="20"/>
          <w:szCs w:val="20"/>
          <w:lang w:val="en-GB"/>
        </w:rPr>
        <w:t xml:space="preserve"> et al. (2011a).</w:t>
      </w:r>
      <w:r>
        <w:rPr>
          <w:rFonts w:ascii="Times New Roman" w:hAnsi="Times New Roman" w:cs="Times New Roman"/>
          <w:i/>
          <w:sz w:val="20"/>
          <w:szCs w:val="20"/>
          <w:lang w:val="en-GB"/>
        </w:rPr>
        <w:br/>
      </w:r>
      <w:r w:rsidRPr="00FF79C1">
        <w:rPr>
          <w:rFonts w:ascii="Times New Roman" w:hAnsi="Times New Roman" w:cs="Times New Roman"/>
          <w:i/>
          <w:sz w:val="20"/>
          <w:szCs w:val="20"/>
          <w:lang w:val="en-GB"/>
        </w:rPr>
        <w:t xml:space="preserve">Sources: Storm Weather Centre, EEA (2009) and </w:t>
      </w:r>
      <w:proofErr w:type="spellStart"/>
      <w:r w:rsidRPr="00FF79C1">
        <w:rPr>
          <w:rFonts w:ascii="Times New Roman" w:hAnsi="Times New Roman" w:cs="Times New Roman"/>
          <w:i/>
          <w:sz w:val="20"/>
          <w:szCs w:val="20"/>
          <w:lang w:val="en-GB"/>
        </w:rPr>
        <w:t>Hoefnagels</w:t>
      </w:r>
      <w:proofErr w:type="spellEnd"/>
      <w:r w:rsidRPr="00FF79C1">
        <w:rPr>
          <w:rFonts w:ascii="Times New Roman" w:hAnsi="Times New Roman" w:cs="Times New Roman"/>
          <w:i/>
          <w:sz w:val="20"/>
          <w:szCs w:val="20"/>
          <w:lang w:val="en-GB"/>
        </w:rPr>
        <w:t xml:space="preserve"> et al. (2011a)</w:t>
      </w:r>
      <w:r w:rsidRPr="0076263E">
        <w:rPr>
          <w:rFonts w:ascii="Times New Roman" w:hAnsi="Times New Roman" w:cs="Times New Roman"/>
          <w:i/>
          <w:sz w:val="20"/>
          <w:szCs w:val="20"/>
          <w:lang w:val="en-GB"/>
        </w:rPr>
        <w:t xml:space="preserve"> </w:t>
      </w:r>
      <w:r>
        <w:rPr>
          <w:rFonts w:ascii="Times New Roman" w:hAnsi="Times New Roman" w:cs="Times New Roman"/>
          <w:i/>
          <w:sz w:val="20"/>
          <w:szCs w:val="20"/>
          <w:lang w:val="en-GB"/>
        </w:rPr>
        <w:t xml:space="preserve">*In the model only 10 % of the potential from </w:t>
      </w:r>
      <w:proofErr w:type="spellStart"/>
      <w:r>
        <w:rPr>
          <w:rFonts w:ascii="Times New Roman" w:hAnsi="Times New Roman" w:cs="Times New Roman"/>
          <w:i/>
          <w:sz w:val="20"/>
          <w:szCs w:val="20"/>
          <w:lang w:val="en-GB"/>
        </w:rPr>
        <w:t>Hoefnagels</w:t>
      </w:r>
      <w:proofErr w:type="spellEnd"/>
      <w:r>
        <w:rPr>
          <w:rFonts w:ascii="Times New Roman" w:hAnsi="Times New Roman" w:cs="Times New Roman"/>
          <w:i/>
          <w:sz w:val="20"/>
          <w:szCs w:val="20"/>
          <w:lang w:val="en-GB"/>
        </w:rPr>
        <w:t xml:space="preserve"> et al. (2011a) has been used.</w:t>
      </w:r>
    </w:p>
    <w:p w:rsidR="00EA0538" w:rsidRPr="00E67B7F" w:rsidRDefault="00EA0538" w:rsidP="00EA0538">
      <w:pPr>
        <w:rPr>
          <w:rFonts w:ascii="Times New Roman" w:hAnsi="Times New Roman" w:cs="Times New Roman"/>
          <w:lang w:val="en-GB"/>
        </w:rPr>
      </w:pPr>
      <w:r w:rsidRPr="00085FA6">
        <w:rPr>
          <w:rFonts w:ascii="Times New Roman" w:hAnsi="Times New Roman" w:cs="Times New Roman"/>
          <w:lang w:val="en-GB"/>
        </w:rPr>
        <w:t xml:space="preserve">We have chosen to only model the onshore </w:t>
      </w:r>
      <w:r>
        <w:rPr>
          <w:rFonts w:ascii="Times New Roman" w:hAnsi="Times New Roman" w:cs="Times New Roman"/>
          <w:lang w:val="en-GB"/>
        </w:rPr>
        <w:t xml:space="preserve">wind power </w:t>
      </w:r>
      <w:r w:rsidRPr="00085FA6">
        <w:rPr>
          <w:rFonts w:ascii="Times New Roman" w:hAnsi="Times New Roman" w:cs="Times New Roman"/>
          <w:lang w:val="en-GB"/>
        </w:rPr>
        <w:t>potential, and omitted offshore wind.</w:t>
      </w:r>
      <w:r>
        <w:rPr>
          <w:rFonts w:ascii="Times New Roman" w:hAnsi="Times New Roman" w:cs="Times New Roman"/>
          <w:lang w:val="en-GB"/>
        </w:rPr>
        <w:t xml:space="preserve"> We use the function </w:t>
      </w:r>
      <w:proofErr w:type="gramStart"/>
      <w:r>
        <w:rPr>
          <w:rFonts w:ascii="Times New Roman" w:hAnsi="Times New Roman" w:cs="Times New Roman"/>
          <w:lang w:val="en-GB"/>
        </w:rPr>
        <w:t>f(</w:t>
      </w:r>
      <w:proofErr w:type="gramEnd"/>
      <w:r>
        <w:rPr>
          <w:rFonts w:ascii="Times New Roman" w:hAnsi="Times New Roman" w:cs="Times New Roman"/>
          <w:lang w:val="en-GB"/>
        </w:rPr>
        <w:t>K</w:t>
      </w:r>
      <w:r>
        <w:rPr>
          <w:rFonts w:ascii="Times New Roman" w:hAnsi="Times New Roman" w:cs="Times New Roman"/>
          <w:vertAlign w:val="superscript"/>
          <w:lang w:val="en-GB"/>
        </w:rPr>
        <w:t>PM</w:t>
      </w:r>
      <w:r>
        <w:rPr>
          <w:rFonts w:ascii="Times New Roman" w:hAnsi="Times New Roman" w:cs="Times New Roman"/>
          <w:lang w:val="en-GB"/>
        </w:rPr>
        <w:t>)=</w:t>
      </w:r>
      <w:proofErr w:type="spellStart"/>
      <w:r>
        <w:rPr>
          <w:rFonts w:ascii="Times New Roman" w:hAnsi="Times New Roman" w:cs="Times New Roman"/>
          <w:lang w:val="en-GB"/>
        </w:rPr>
        <w:t>a</w:t>
      </w:r>
      <w:r>
        <w:rPr>
          <w:rFonts w:ascii="Times New Roman" w:hAnsi="Times New Roman" w:cs="Times New Roman"/>
          <w:vertAlign w:val="superscript"/>
          <w:lang w:val="en-GB"/>
        </w:rPr>
        <w:t>W</w:t>
      </w:r>
      <w:r>
        <w:rPr>
          <w:rFonts w:ascii="Times New Roman" w:hAnsi="Times New Roman" w:cs="Times New Roman"/>
          <w:lang w:val="en-GB"/>
        </w:rPr>
        <w:t>+b</w:t>
      </w:r>
      <w:r>
        <w:rPr>
          <w:rFonts w:ascii="Times New Roman" w:hAnsi="Times New Roman" w:cs="Times New Roman"/>
          <w:vertAlign w:val="superscript"/>
          <w:lang w:val="en-GB"/>
        </w:rPr>
        <w:t>W</w:t>
      </w:r>
      <w:r>
        <w:rPr>
          <w:rFonts w:ascii="Times New Roman" w:hAnsi="Times New Roman" w:cs="Times New Roman"/>
          <w:lang w:val="en-GB"/>
        </w:rPr>
        <w:t>K</w:t>
      </w:r>
      <w:r>
        <w:rPr>
          <w:rFonts w:ascii="Times New Roman" w:hAnsi="Times New Roman" w:cs="Times New Roman"/>
          <w:vertAlign w:val="superscript"/>
          <w:lang w:val="en-GB"/>
        </w:rPr>
        <w:t>PM</w:t>
      </w:r>
      <w:proofErr w:type="spellEnd"/>
      <w:r>
        <w:rPr>
          <w:rFonts w:ascii="Times New Roman" w:hAnsi="Times New Roman" w:cs="Times New Roman"/>
          <w:lang w:val="en-GB"/>
        </w:rPr>
        <w:t>, where f(K</w:t>
      </w:r>
      <w:r>
        <w:rPr>
          <w:rFonts w:ascii="Times New Roman" w:hAnsi="Times New Roman" w:cs="Times New Roman"/>
          <w:vertAlign w:val="superscript"/>
          <w:lang w:val="en-GB"/>
        </w:rPr>
        <w:t>PM</w:t>
      </w:r>
      <w:r>
        <w:rPr>
          <w:rFonts w:ascii="Times New Roman" w:hAnsi="Times New Roman" w:cs="Times New Roman"/>
          <w:lang w:val="en-GB"/>
        </w:rPr>
        <w:t xml:space="preserve">) is the average number of wind </w:t>
      </w:r>
      <w:r w:rsidRPr="00DD6778">
        <w:rPr>
          <w:rFonts w:ascii="Times New Roman" w:hAnsi="Times New Roman" w:cs="Times New Roman"/>
          <w:lang w:val="en-GB"/>
        </w:rPr>
        <w:t>hours at the best site (in a country</w:t>
      </w:r>
      <w:r>
        <w:rPr>
          <w:rFonts w:ascii="Times New Roman" w:hAnsi="Times New Roman" w:cs="Times New Roman"/>
          <w:lang w:val="en-GB"/>
        </w:rPr>
        <w:t xml:space="preserve"> – see table 2</w:t>
      </w:r>
      <w:r w:rsidRPr="00DD6778">
        <w:rPr>
          <w:rFonts w:ascii="Times New Roman" w:hAnsi="Times New Roman" w:cs="Times New Roman"/>
          <w:lang w:val="en-GB"/>
        </w:rPr>
        <w:t xml:space="preserve">). We have </w:t>
      </w:r>
      <w:r>
        <w:rPr>
          <w:rFonts w:ascii="Times New Roman" w:hAnsi="Times New Roman" w:cs="Times New Roman"/>
          <w:lang w:val="en-GB"/>
        </w:rPr>
        <w:t xml:space="preserve">calibrated the parameter </w:t>
      </w:r>
      <w:proofErr w:type="spellStart"/>
      <w:proofErr w:type="gramStart"/>
      <w:r>
        <w:rPr>
          <w:rFonts w:ascii="Times New Roman" w:hAnsi="Times New Roman" w:cs="Times New Roman"/>
          <w:lang w:val="en-GB"/>
        </w:rPr>
        <w:t>b</w:t>
      </w:r>
      <w:r>
        <w:rPr>
          <w:rFonts w:ascii="Times New Roman" w:hAnsi="Times New Roman" w:cs="Times New Roman"/>
          <w:vertAlign w:val="superscript"/>
          <w:lang w:val="en-GB"/>
        </w:rPr>
        <w:t>W</w:t>
      </w:r>
      <w:proofErr w:type="spellEnd"/>
      <w:proofErr w:type="gramEnd"/>
      <w:r>
        <w:rPr>
          <w:rFonts w:ascii="Times New Roman" w:hAnsi="Times New Roman" w:cs="Times New Roman"/>
          <w:lang w:val="en-GB"/>
        </w:rPr>
        <w:t xml:space="preserve">. </w:t>
      </w:r>
      <w:proofErr w:type="spellStart"/>
      <w:proofErr w:type="gramStart"/>
      <w:r>
        <w:rPr>
          <w:rFonts w:ascii="Times New Roman" w:hAnsi="Times New Roman" w:cs="Times New Roman"/>
          <w:lang w:val="en-GB"/>
        </w:rPr>
        <w:t>b</w:t>
      </w:r>
      <w:r>
        <w:rPr>
          <w:rFonts w:ascii="Times New Roman" w:hAnsi="Times New Roman" w:cs="Times New Roman"/>
          <w:vertAlign w:val="superscript"/>
          <w:lang w:val="en-GB"/>
        </w:rPr>
        <w:t>W</w:t>
      </w:r>
      <w:proofErr w:type="spellEnd"/>
      <w:proofErr w:type="gramEnd"/>
      <w:r>
        <w:rPr>
          <w:rFonts w:ascii="Times New Roman" w:hAnsi="Times New Roman" w:cs="Times New Roman"/>
          <w:lang w:val="en-GB"/>
        </w:rPr>
        <w:t xml:space="preserve"> depends on the potential in a future year and time, where the access to areas that can be used for wind power increases over time captured by b(t) – see chapter 3.2.3 above. We have two alternative calibrations, one where we use the potential for 2020 and one where we use the potential for 2030.</w:t>
      </w:r>
    </w:p>
    <w:p w:rsidR="00EA0538" w:rsidRDefault="00EA0538" w:rsidP="00EA0538">
      <w:pPr>
        <w:rPr>
          <w:rFonts w:ascii="Times New Roman" w:hAnsi="Times New Roman" w:cs="Times New Roman"/>
          <w:lang w:val="en-GB"/>
        </w:rPr>
      </w:pPr>
    </w:p>
    <w:p w:rsidR="00EA0538" w:rsidRPr="00085FA6" w:rsidRDefault="00EA0538" w:rsidP="00EA0538">
      <w:pPr>
        <w:pStyle w:val="Heading2"/>
        <w:jc w:val="both"/>
        <w:rPr>
          <w:rFonts w:ascii="Times New Roman" w:hAnsi="Times New Roman" w:cs="Times New Roman"/>
          <w:lang w:val="en-GB"/>
        </w:rPr>
      </w:pPr>
      <w:bookmarkStart w:id="14" w:name="_Toc386631727"/>
      <w:r w:rsidRPr="00085FA6">
        <w:rPr>
          <w:rFonts w:ascii="Times New Roman" w:hAnsi="Times New Roman" w:cs="Times New Roman"/>
          <w:lang w:val="en-GB"/>
        </w:rPr>
        <w:t>3.3. Electricity generation</w:t>
      </w:r>
      <w:bookmarkEnd w:id="14"/>
      <w:r w:rsidRPr="00085FA6">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Electricity and heat generation in each model country in the base year is taken from the IEA Electricity Information database. The same source has power capacities for the electricity producing technologies. However, the IEA does not provide capacity data for non-OECD countries. This means that for the model countries that are not OECD members we have used ENTSO-E (2010), EURELECTRIC (2011) and the UN Energy Statistics Database</w:t>
      </w:r>
      <w:r w:rsidRPr="00085FA6">
        <w:rPr>
          <w:rStyle w:val="FootnoteReference"/>
          <w:rFonts w:ascii="Times New Roman" w:hAnsi="Times New Roman" w:cs="Times New Roman"/>
          <w:lang w:val="en-GB"/>
        </w:rPr>
        <w:footnoteReference w:id="15"/>
      </w:r>
      <w:r w:rsidRPr="00085FA6">
        <w:rPr>
          <w:rFonts w:ascii="Times New Roman" w:hAnsi="Times New Roman" w:cs="Times New Roman"/>
          <w:lang w:val="en-GB"/>
        </w:rPr>
        <w:t xml:space="preserve"> to complete the dataset.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In LIBEMOD each power plant may use one fuel only, which implies that multi-fuelled power plants are grouped together with the single-fuelled plants. </w:t>
      </w:r>
      <w:r w:rsidRPr="00085FA6">
        <w:rPr>
          <w:rFonts w:ascii="Times New Roman" w:hAnsi="Times New Roman" w:cs="Times New Roman"/>
          <w:lang w:val="en-GB"/>
        </w:rPr>
        <w:t xml:space="preserve">For some countries with many multi-fuelled power plants the IEA </w:t>
      </w:r>
      <w:r>
        <w:rPr>
          <w:rFonts w:ascii="Times New Roman" w:hAnsi="Times New Roman" w:cs="Times New Roman"/>
          <w:lang w:val="en-GB"/>
        </w:rPr>
        <w:t xml:space="preserve">statistics </w:t>
      </w:r>
      <w:r w:rsidRPr="00085FA6">
        <w:rPr>
          <w:rFonts w:ascii="Times New Roman" w:hAnsi="Times New Roman" w:cs="Times New Roman"/>
          <w:lang w:val="en-GB"/>
        </w:rPr>
        <w:t xml:space="preserve">only </w:t>
      </w:r>
      <w:r>
        <w:rPr>
          <w:rFonts w:ascii="Times New Roman" w:hAnsi="Times New Roman" w:cs="Times New Roman"/>
          <w:lang w:val="en-GB"/>
        </w:rPr>
        <w:t>provides</w:t>
      </w:r>
      <w:r w:rsidRPr="00085FA6">
        <w:rPr>
          <w:rFonts w:ascii="Times New Roman" w:hAnsi="Times New Roman" w:cs="Times New Roman"/>
          <w:lang w:val="en-GB"/>
        </w:rPr>
        <w:t xml:space="preserve"> a total capacity for thermal plants</w:t>
      </w:r>
      <w:r>
        <w:rPr>
          <w:rFonts w:ascii="Times New Roman" w:hAnsi="Times New Roman" w:cs="Times New Roman"/>
          <w:lang w:val="en-GB"/>
        </w:rPr>
        <w:t xml:space="preserve"> in the base year</w:t>
      </w:r>
      <w:r w:rsidRPr="00085FA6">
        <w:rPr>
          <w:rFonts w:ascii="Times New Roman" w:hAnsi="Times New Roman" w:cs="Times New Roman"/>
          <w:lang w:val="en-GB"/>
        </w:rPr>
        <w:t xml:space="preserve">. </w:t>
      </w:r>
      <w:r>
        <w:rPr>
          <w:rFonts w:ascii="Times New Roman" w:hAnsi="Times New Roman" w:cs="Times New Roman"/>
          <w:lang w:val="en-GB"/>
        </w:rPr>
        <w:t>Because it is necessary t</w:t>
      </w:r>
      <w:r w:rsidRPr="00085FA6">
        <w:rPr>
          <w:rFonts w:ascii="Times New Roman" w:hAnsi="Times New Roman" w:cs="Times New Roman"/>
          <w:lang w:val="en-GB"/>
        </w:rPr>
        <w:t xml:space="preserve">o distinguish between coal, natural gas and oil </w:t>
      </w:r>
      <w:r>
        <w:rPr>
          <w:rFonts w:ascii="Times New Roman" w:hAnsi="Times New Roman" w:cs="Times New Roman"/>
          <w:lang w:val="en-GB"/>
        </w:rPr>
        <w:t>in the model data from E</w:t>
      </w:r>
      <w:r w:rsidRPr="00085FA6">
        <w:rPr>
          <w:rFonts w:ascii="Times New Roman" w:hAnsi="Times New Roman" w:cs="Times New Roman"/>
          <w:lang w:val="en-GB"/>
        </w:rPr>
        <w:t>NTSO-E (2010) and EURELECTRIC (2011)</w:t>
      </w:r>
      <w:r>
        <w:rPr>
          <w:rFonts w:ascii="Times New Roman" w:hAnsi="Times New Roman" w:cs="Times New Roman"/>
          <w:lang w:val="en-GB"/>
        </w:rPr>
        <w:t xml:space="preserve"> has been used to complement the IEA statistics for some countries</w:t>
      </w:r>
      <w:r w:rsidRPr="00085FA6">
        <w:rPr>
          <w:rFonts w:ascii="Times New Roman" w:hAnsi="Times New Roman" w:cs="Times New Roman"/>
          <w:lang w:val="en-GB"/>
        </w:rPr>
        <w:t>.</w:t>
      </w:r>
    </w:p>
    <w:p w:rsidR="00EA0538" w:rsidRPr="001A7396" w:rsidRDefault="00EA0538" w:rsidP="00EA0538">
      <w:pPr>
        <w:jc w:val="both"/>
        <w:rPr>
          <w:rFonts w:ascii="Times New Roman" w:hAnsi="Times New Roman" w:cs="Times New Roman"/>
          <w:lang w:val="en-GB"/>
        </w:rPr>
      </w:pPr>
    </w:p>
    <w:p w:rsidR="00EA0538" w:rsidRPr="00085FA6" w:rsidRDefault="00EA0538" w:rsidP="00EA0538">
      <w:pPr>
        <w:pStyle w:val="Heading3"/>
        <w:jc w:val="both"/>
        <w:rPr>
          <w:rFonts w:ascii="Times New Roman" w:hAnsi="Times New Roman" w:cs="Times New Roman"/>
          <w:lang w:val="en-GB"/>
        </w:rPr>
      </w:pPr>
      <w:bookmarkStart w:id="15" w:name="_Toc386631728"/>
      <w:r w:rsidRPr="00085FA6">
        <w:rPr>
          <w:rFonts w:ascii="Times New Roman" w:hAnsi="Times New Roman" w:cs="Times New Roman"/>
          <w:lang w:val="en-GB"/>
        </w:rPr>
        <w:t>3.3.1 Efficiencies</w:t>
      </w:r>
      <w:bookmarkEnd w:id="15"/>
      <w:r w:rsidRPr="00085FA6">
        <w:rPr>
          <w:rFonts w:ascii="Times New Roman" w:hAnsi="Times New Roman" w:cs="Times New Roman"/>
          <w:lang w:val="en-GB"/>
        </w:rPr>
        <w:t xml:space="preserve">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We differentiate between existing power plants and new plants. Efficiencies for new power plants are discussed in chapter 4.1. Efficiency differs across existing plants within each fuel category due to factors like age, variations within the technologies and plant specifications. We assume that for all existing plants in a country with the same type of technology, for example gas power, the thermal efficiency is a linear function of capacity utilization.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To determine a linear function, one requires two exogenous values. We let one point be the thermal efficiency of the most efficient plant in each country, which we define as the efficiency reported for new plants in the IEA Projected Costs of Generating Electricity, Update 2005. The publication has efficiency estimates for plants coming online in 2010 for some of the model countries for the different technologies. For countries where </w:t>
      </w:r>
      <w:r>
        <w:rPr>
          <w:rFonts w:ascii="Times New Roman" w:hAnsi="Times New Roman" w:cs="Times New Roman"/>
          <w:lang w:val="en-GB"/>
        </w:rPr>
        <w:t>there are no estimates</w:t>
      </w:r>
      <w:r w:rsidRPr="00085FA6">
        <w:rPr>
          <w:rFonts w:ascii="Times New Roman" w:hAnsi="Times New Roman" w:cs="Times New Roman"/>
          <w:lang w:val="en-GB"/>
        </w:rPr>
        <w:t xml:space="preserve"> (and for pumped storage production which is not mentioned in the publication) the average efficiencies reported for 2009 (in IEA Electricity Information 2011)</w:t>
      </w:r>
      <w:r>
        <w:rPr>
          <w:rFonts w:ascii="Times New Roman" w:hAnsi="Times New Roman" w:cs="Times New Roman"/>
          <w:lang w:val="en-GB"/>
        </w:rPr>
        <w:t xml:space="preserve"> have been used</w:t>
      </w:r>
      <w:r w:rsidRPr="00085FA6">
        <w:rPr>
          <w:rFonts w:ascii="Times New Roman" w:hAnsi="Times New Roman" w:cs="Times New Roman"/>
          <w:lang w:val="en-GB"/>
        </w:rPr>
        <w:t xml:space="preserve">. </w:t>
      </w:r>
      <w:r>
        <w:rPr>
          <w:rFonts w:ascii="Times New Roman" w:hAnsi="Times New Roman" w:cs="Times New Roman"/>
          <w:lang w:val="en-GB"/>
        </w:rPr>
        <w:t>Because</w:t>
      </w:r>
      <w:r w:rsidRPr="00085FA6">
        <w:rPr>
          <w:rFonts w:ascii="Times New Roman" w:hAnsi="Times New Roman" w:cs="Times New Roman"/>
          <w:lang w:val="en-GB"/>
        </w:rPr>
        <w:t xml:space="preserve"> the plants </w:t>
      </w:r>
      <w:r>
        <w:rPr>
          <w:rFonts w:ascii="Times New Roman" w:hAnsi="Times New Roman" w:cs="Times New Roman"/>
          <w:lang w:val="en-GB"/>
        </w:rPr>
        <w:t xml:space="preserve">that were </w:t>
      </w:r>
      <w:r w:rsidRPr="00085FA6">
        <w:rPr>
          <w:rFonts w:ascii="Times New Roman" w:hAnsi="Times New Roman" w:cs="Times New Roman"/>
          <w:lang w:val="en-GB"/>
        </w:rPr>
        <w:t>in operation in 2009 differ in age, and hence</w:t>
      </w:r>
      <w:r>
        <w:rPr>
          <w:rFonts w:ascii="Times New Roman" w:hAnsi="Times New Roman" w:cs="Times New Roman"/>
          <w:lang w:val="en-GB"/>
        </w:rPr>
        <w:t xml:space="preserve"> have varying</w:t>
      </w:r>
      <w:r w:rsidRPr="00085FA6">
        <w:rPr>
          <w:rFonts w:ascii="Times New Roman" w:hAnsi="Times New Roman" w:cs="Times New Roman"/>
          <w:lang w:val="en-GB"/>
        </w:rPr>
        <w:t xml:space="preserve"> efficiencies, this estimate</w:t>
      </w:r>
      <w:r>
        <w:rPr>
          <w:rFonts w:ascii="Times New Roman" w:hAnsi="Times New Roman" w:cs="Times New Roman"/>
          <w:lang w:val="en-GB"/>
        </w:rPr>
        <w:t xml:space="preserve"> is adjusted</w:t>
      </w:r>
      <w:r w:rsidRPr="00085FA6">
        <w:rPr>
          <w:rFonts w:ascii="Times New Roman" w:hAnsi="Times New Roman" w:cs="Times New Roman"/>
          <w:lang w:val="en-GB"/>
        </w:rPr>
        <w:t xml:space="preserve"> by multiplying with a factor of 1.05.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A candidate for the second point of the linear function could potentially be the observed efficiency, calculated as the net electricity production to fuel use. However, it is not straightforward to use the observed average efficiencies to determine the other fixed point of the linear efficiency function. First, the unused parts of all electricity capacities have unobserved efficiency. Assuming that these are mainly vintage plants with lower efficiency, the (true) average efficiency of total capacity will be lower than the observed average efficiency. Second, the different electricity-</w:t>
      </w:r>
      <w:r w:rsidRPr="00085FA6">
        <w:rPr>
          <w:rFonts w:ascii="Times New Roman" w:hAnsi="Times New Roman" w:cs="Times New Roman"/>
          <w:lang w:val="en-GB"/>
        </w:rPr>
        <w:lastRenderedPageBreak/>
        <w:t xml:space="preserve">producing technologies do not have a constant rate of capacity utilisation throughout the year. These rates are not known from primary data. The data only provide information on annual rate of capacity utilisation for each technology and the distribution of total production over the four time periods.  Instead of using average efficiency directly to determine the second point, we calibrate the capacity utilisation for each technology and period by imposing the requirement that, for each country, the outcome should be consistent with cost minimization in electricity production, given our data. The problem is solved by running the electricity production block of the model. The solution of the problem provides the efficiency of the least efficient plant actually used in any period (the marginal efficiency for each technology and country), which is used as the second point in the linear efficiency function. </w:t>
      </w:r>
    </w:p>
    <w:p w:rsidR="00EA0538" w:rsidRDefault="00EA0538" w:rsidP="00EA0538">
      <w:pPr>
        <w:pStyle w:val="NoSpacing"/>
        <w:jc w:val="both"/>
        <w:rPr>
          <w:rStyle w:val="Heading3Char"/>
          <w:rFonts w:ascii="Times New Roman" w:hAnsi="Times New Roman" w:cs="Times New Roman"/>
          <w:lang w:val="en-US"/>
        </w:rPr>
      </w:pPr>
      <w:r w:rsidRPr="00085FA6">
        <w:rPr>
          <w:rFonts w:ascii="Times New Roman" w:hAnsi="Times New Roman" w:cs="Times New Roman"/>
          <w:lang w:val="en-GB"/>
        </w:rPr>
        <w:br/>
      </w:r>
      <w:bookmarkStart w:id="16" w:name="_Toc386631729"/>
      <w:r w:rsidRPr="00085FA6">
        <w:rPr>
          <w:rStyle w:val="Heading3Char"/>
          <w:rFonts w:ascii="Times New Roman" w:hAnsi="Times New Roman" w:cs="Times New Roman"/>
          <w:lang w:val="en-US"/>
        </w:rPr>
        <w:t>3.3.2 Heat efficiency</w:t>
      </w:r>
      <w:bookmarkEnd w:id="16"/>
    </w:p>
    <w:p w:rsidR="00EA0538" w:rsidRPr="0026776A" w:rsidRDefault="00EA0538" w:rsidP="00EA0538">
      <w:pPr>
        <w:jc w:val="both"/>
        <w:rPr>
          <w:rFonts w:ascii="Times New Roman" w:hAnsi="Times New Roman" w:cs="Times New Roman"/>
          <w:lang w:val="en-GB"/>
        </w:rPr>
      </w:pPr>
      <w:r w:rsidRPr="0026776A">
        <w:rPr>
          <w:rFonts w:ascii="Times New Roman" w:hAnsi="Times New Roman" w:cs="Times New Roman"/>
          <w:lang w:val="en-GB"/>
        </w:rPr>
        <w:t xml:space="preserve">Actual thermal efficiencies for the fossil-fuel-based technologies are based on observed fuel use and production of heat and electricity in 2009 as reported by the IEA in their Electricity Information Statistics Database. The estimated heat-electricity trade-off coefficients were used to convert heat produced in 2009 to its electricity equivalent, ensuring that all electricity quantities (production and consumption) in the base year also include transformed heat. </w:t>
      </w:r>
    </w:p>
    <w:p w:rsidR="00EA0538" w:rsidRDefault="00EA0538" w:rsidP="00EA0538">
      <w:pPr>
        <w:jc w:val="both"/>
        <w:rPr>
          <w:rFonts w:ascii="Times New Roman" w:hAnsi="Times New Roman" w:cs="Times New Roman"/>
          <w:lang w:val="en-GB"/>
        </w:rPr>
      </w:pPr>
      <w:r w:rsidRPr="0026776A">
        <w:rPr>
          <w:rFonts w:ascii="Times New Roman" w:hAnsi="Times New Roman" w:cs="Times New Roman"/>
          <w:lang w:val="en-GB"/>
        </w:rPr>
        <w:t xml:space="preserve">Through using observations from the 1970s and up until today we have estimated a trade-off between heat and electricity across fuels for all model countries. There is a wide dispersion between countries and fuels. For gas, oil and coal, the results were highly significant; whereas for waste and biomass the results were </w:t>
      </w:r>
      <w:r>
        <w:rPr>
          <w:rFonts w:ascii="Times New Roman" w:hAnsi="Times New Roman" w:cs="Times New Roman"/>
          <w:lang w:val="en-GB"/>
        </w:rPr>
        <w:t xml:space="preserve">only </w:t>
      </w:r>
      <w:r w:rsidRPr="0026776A">
        <w:rPr>
          <w:rFonts w:ascii="Times New Roman" w:hAnsi="Times New Roman" w:cs="Times New Roman"/>
          <w:lang w:val="en-GB"/>
        </w:rPr>
        <w:t>significant when these were estimated together (there are fewer observations for these).</w:t>
      </w:r>
    </w:p>
    <w:p w:rsidR="00EA0538" w:rsidRPr="00085FA6" w:rsidRDefault="00EA0538" w:rsidP="00EA0538">
      <w:pPr>
        <w:rPr>
          <w:rFonts w:ascii="Times New Roman" w:hAnsi="Times New Roman" w:cs="Times New Roman"/>
          <w:lang w:val="en-GB"/>
        </w:rPr>
      </w:pPr>
      <w:r w:rsidRPr="00085FA6">
        <w:rPr>
          <w:rFonts w:ascii="Times New Roman" w:hAnsi="Times New Roman" w:cs="Times New Roman"/>
          <w:lang w:val="en-GB"/>
        </w:rPr>
        <w:t>Gas</w:t>
      </w:r>
      <w:r w:rsidRPr="00085FA6">
        <w:rPr>
          <w:rFonts w:ascii="Times New Roman" w:hAnsi="Times New Roman" w:cs="Times New Roman"/>
          <w:lang w:val="en-GB"/>
        </w:rPr>
        <w:tab/>
        <w:t xml:space="preserve"> Electricity = -0,3709Heat + 0,4345Gas, (R</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 = 0,983</w:t>
      </w:r>
      <w:proofErr w:type="gramStart"/>
      <w:r w:rsidRPr="00085FA6">
        <w:rPr>
          <w:rFonts w:ascii="Times New Roman" w:hAnsi="Times New Roman" w:cs="Times New Roman"/>
          <w:lang w:val="en-GB"/>
        </w:rPr>
        <w:t>)</w:t>
      </w:r>
      <w:proofErr w:type="gramEnd"/>
      <w:r w:rsidRPr="00085FA6">
        <w:rPr>
          <w:rFonts w:ascii="Times New Roman" w:hAnsi="Times New Roman" w:cs="Times New Roman"/>
          <w:lang w:val="en-GB"/>
        </w:rPr>
        <w:br/>
        <w:t>Coal</w:t>
      </w:r>
      <w:r w:rsidRPr="00085FA6">
        <w:rPr>
          <w:rFonts w:ascii="Times New Roman" w:hAnsi="Times New Roman" w:cs="Times New Roman"/>
          <w:lang w:val="en-GB"/>
        </w:rPr>
        <w:tab/>
        <w:t xml:space="preserve"> Electricity = -0,4971Heat + 0,3702Coal, (R</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 = 0,994)</w:t>
      </w:r>
      <w:r w:rsidRPr="00085FA6">
        <w:rPr>
          <w:rFonts w:ascii="Times New Roman" w:hAnsi="Times New Roman" w:cs="Times New Roman"/>
          <w:lang w:val="en-GB"/>
        </w:rPr>
        <w:br/>
        <w:t>Oil</w:t>
      </w:r>
      <w:r w:rsidRPr="00085FA6">
        <w:rPr>
          <w:rFonts w:ascii="Times New Roman" w:hAnsi="Times New Roman" w:cs="Times New Roman"/>
          <w:lang w:val="en-GB"/>
        </w:rPr>
        <w:tab/>
        <w:t xml:space="preserve"> Electricity = -0,2558Heat + 0,3880Oil, (R</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 = 0,978)</w:t>
      </w:r>
      <w:r w:rsidRPr="00085FA6">
        <w:rPr>
          <w:rFonts w:ascii="Times New Roman" w:hAnsi="Times New Roman" w:cs="Times New Roman"/>
          <w:lang w:val="en-GB"/>
        </w:rPr>
        <w:br/>
        <w:t>CRW</w:t>
      </w:r>
      <w:r w:rsidRPr="00085FA6">
        <w:rPr>
          <w:rFonts w:ascii="Times New Roman" w:hAnsi="Times New Roman" w:cs="Times New Roman"/>
          <w:lang w:val="en-GB"/>
        </w:rPr>
        <w:tab/>
        <w:t xml:space="preserve"> Electricity = -0,1393Heat + 0,2608CRW, (R</w:t>
      </w:r>
      <w:r w:rsidRPr="00085FA6">
        <w:rPr>
          <w:rFonts w:ascii="Times New Roman" w:hAnsi="Times New Roman" w:cs="Times New Roman"/>
          <w:vertAlign w:val="superscript"/>
          <w:lang w:val="en-GB"/>
        </w:rPr>
        <w:t>2</w:t>
      </w:r>
      <w:r w:rsidRPr="00085FA6">
        <w:rPr>
          <w:rFonts w:ascii="Times New Roman" w:hAnsi="Times New Roman" w:cs="Times New Roman"/>
          <w:lang w:val="en-GB"/>
        </w:rPr>
        <w:t xml:space="preserve"> = 0,916)</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first coefficient is interpreted as the change in electricity produced per unit increase in heat production, and the second coefficient as the gross thermal efficiency had all production been electricity.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We use the estimates for gross electricity production, along with the ratio between net and gross electricity production for combustible fuels (found through using data from IEA Electricity Information), to calculate the net electricity production for the combustible fuels. This source also contains data on net electricity production from other types of technologies. </w:t>
      </w:r>
      <w:r w:rsidRPr="00085FA6">
        <w:rPr>
          <w:rFonts w:ascii="Times New Roman" w:hAnsi="Times New Roman" w:cs="Times New Roman"/>
          <w:lang w:val="en-GB"/>
        </w:rPr>
        <w:br/>
      </w:r>
    </w:p>
    <w:p w:rsidR="00EA0538" w:rsidRPr="00085FA6" w:rsidRDefault="00EA0538" w:rsidP="00EA0538">
      <w:pPr>
        <w:pStyle w:val="Heading3"/>
        <w:jc w:val="both"/>
        <w:rPr>
          <w:rFonts w:ascii="Times New Roman" w:hAnsi="Times New Roman" w:cs="Times New Roman"/>
          <w:lang w:val="en-GB"/>
        </w:rPr>
      </w:pPr>
      <w:bookmarkStart w:id="17" w:name="_Toc386631730"/>
      <w:r w:rsidRPr="00085FA6">
        <w:rPr>
          <w:rFonts w:ascii="Times New Roman" w:hAnsi="Times New Roman" w:cs="Times New Roman"/>
          <w:lang w:val="en-GB"/>
        </w:rPr>
        <w:t>3.3.3 Operation and maintenance costs</w:t>
      </w:r>
      <w:bookmarkEnd w:id="17"/>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 xml:space="preserve">In the model we differentiate between fixed and variable operation and maintenance costs (O&amp;M). </w:t>
      </w:r>
      <w:r w:rsidRPr="00085FA6">
        <w:rPr>
          <w:rFonts w:ascii="Times New Roman" w:hAnsi="Times New Roman" w:cs="Times New Roman"/>
          <w:lang w:val="en-GB"/>
        </w:rPr>
        <w:t xml:space="preserve">Fixed O&amp;M costs are costs that incur irrespective of use and therefore can be viewed as long-run maintenance costs, whereas variable O&amp;M costs are linked to the maintenance of the capacity that has been used during a year.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consider fixed O&amp;M costs to include labour, regular and irregular maintenance work, property tax, insurance and network use of system charges and variable O&amp;M to cover constant maintenance contracts (i.e. periodic inspections, repair of system components and consumables, water, lubricants and fuel additives).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OECD-publication “Projected Costs of Generating Electricity 2010</w:t>
      </w:r>
      <w:r>
        <w:rPr>
          <w:rFonts w:ascii="Times New Roman" w:hAnsi="Times New Roman" w:cs="Times New Roman"/>
          <w:lang w:val="en-GB"/>
        </w:rPr>
        <w:t xml:space="preserve"> (OECD 2010) </w:t>
      </w:r>
      <w:r w:rsidRPr="00085FA6">
        <w:rPr>
          <w:rFonts w:ascii="Times New Roman" w:hAnsi="Times New Roman" w:cs="Times New Roman"/>
          <w:lang w:val="en-GB"/>
        </w:rPr>
        <w:t xml:space="preserve">provides estimates for total O&amp;M costs, so other sources </w:t>
      </w:r>
      <w:r>
        <w:rPr>
          <w:rFonts w:ascii="Times New Roman" w:hAnsi="Times New Roman" w:cs="Times New Roman"/>
          <w:lang w:val="en-GB"/>
        </w:rPr>
        <w:t xml:space="preserve">have been used </w:t>
      </w:r>
      <w:r w:rsidRPr="00085FA6">
        <w:rPr>
          <w:rFonts w:ascii="Times New Roman" w:hAnsi="Times New Roman" w:cs="Times New Roman"/>
          <w:lang w:val="en-GB"/>
        </w:rPr>
        <w:t xml:space="preserve">for the split between fixed and variable costs. </w:t>
      </w:r>
      <w:proofErr w:type="spellStart"/>
      <w:r w:rsidRPr="00085FA6">
        <w:rPr>
          <w:rFonts w:ascii="Times New Roman" w:hAnsi="Times New Roman" w:cs="Times New Roman"/>
          <w:lang w:val="en-GB"/>
        </w:rPr>
        <w:t>Tidball</w:t>
      </w:r>
      <w:proofErr w:type="spellEnd"/>
      <w:r w:rsidRPr="00085FA6">
        <w:rPr>
          <w:rFonts w:ascii="Times New Roman" w:hAnsi="Times New Roman" w:cs="Times New Roman"/>
          <w:lang w:val="en-GB"/>
        </w:rPr>
        <w:t xml:space="preserve"> et al. (2010), NREL (2012) and UK Costs of Generating Electricity 2010 provide more detailed information about O&amp;M costs.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provides a compilation of different studies and their assumptions for fixed and variable O&amp;M costs for different technologies. Based on an assessment of these sources a dataset has been created.</w:t>
      </w:r>
      <w:r w:rsidRPr="00085FA6">
        <w:rPr>
          <w:rStyle w:val="FootnoteReference"/>
          <w:rFonts w:ascii="Times New Roman" w:hAnsi="Times New Roman" w:cs="Times New Roman"/>
          <w:lang w:val="en-GB"/>
        </w:rPr>
        <w:footnoteReference w:id="16"/>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Costs</w:t>
      </w:r>
      <w:r w:rsidRPr="00085FA6">
        <w:rPr>
          <w:rFonts w:ascii="Times New Roman" w:hAnsi="Times New Roman" w:cs="Times New Roman"/>
          <w:lang w:val="en-GB"/>
        </w:rPr>
        <w:t xml:space="preserve"> from </w:t>
      </w:r>
      <w:r>
        <w:rPr>
          <w:rFonts w:ascii="Times New Roman" w:hAnsi="Times New Roman" w:cs="Times New Roman"/>
          <w:lang w:val="en-GB"/>
        </w:rPr>
        <w:t>OECD</w:t>
      </w:r>
      <w:r w:rsidRPr="00085FA6">
        <w:rPr>
          <w:rFonts w:ascii="Times New Roman" w:hAnsi="Times New Roman" w:cs="Times New Roman"/>
          <w:lang w:val="en-GB"/>
        </w:rPr>
        <w:t xml:space="preserve"> </w:t>
      </w:r>
      <w:r>
        <w:rPr>
          <w:rFonts w:ascii="Times New Roman" w:hAnsi="Times New Roman" w:cs="Times New Roman"/>
          <w:lang w:val="en-GB"/>
        </w:rPr>
        <w:t>(</w:t>
      </w:r>
      <w:r w:rsidRPr="00085FA6">
        <w:rPr>
          <w:rFonts w:ascii="Times New Roman" w:hAnsi="Times New Roman" w:cs="Times New Roman"/>
          <w:lang w:val="en-GB"/>
        </w:rPr>
        <w:t>2010</w:t>
      </w:r>
      <w:r>
        <w:rPr>
          <w:rFonts w:ascii="Times New Roman" w:hAnsi="Times New Roman" w:cs="Times New Roman"/>
          <w:lang w:val="en-GB"/>
        </w:rPr>
        <w:t>)</w:t>
      </w:r>
      <w:r w:rsidRPr="00085FA6">
        <w:rPr>
          <w:rFonts w:ascii="Times New Roman" w:hAnsi="Times New Roman" w:cs="Times New Roman"/>
          <w:lang w:val="en-GB"/>
        </w:rPr>
        <w:t xml:space="preserve"> </w:t>
      </w:r>
      <w:r>
        <w:rPr>
          <w:rFonts w:ascii="Times New Roman" w:hAnsi="Times New Roman" w:cs="Times New Roman"/>
          <w:lang w:val="en-GB"/>
        </w:rPr>
        <w:t>have</w:t>
      </w:r>
      <w:r w:rsidRPr="00085FA6">
        <w:rPr>
          <w:rFonts w:ascii="Times New Roman" w:hAnsi="Times New Roman" w:cs="Times New Roman"/>
          <w:lang w:val="en-GB"/>
        </w:rPr>
        <w:t xml:space="preserve"> been used for natural gas, steam coal, lignite and nuclear power plants. For steam coal we assume that of the total O&amp;M costs 54 % are variable and 46 % are fixed, whilst for lignite the allocation is 35 % variable and 65 % fixed. For </w:t>
      </w:r>
      <w:r>
        <w:rPr>
          <w:rFonts w:ascii="Times New Roman" w:hAnsi="Times New Roman" w:cs="Times New Roman"/>
          <w:lang w:val="en-GB"/>
        </w:rPr>
        <w:t xml:space="preserve">natural </w:t>
      </w:r>
      <w:r w:rsidRPr="00085FA6">
        <w:rPr>
          <w:rFonts w:ascii="Times New Roman" w:hAnsi="Times New Roman" w:cs="Times New Roman"/>
          <w:lang w:val="en-GB"/>
        </w:rPr>
        <w:t xml:space="preserve">gas (combined cycle) we assume that variable costs make up 55 % and fixed 45 %, and for nuclear 4 % variable and 96 % fixed. For oil power </w:t>
      </w:r>
      <w:proofErr w:type="spellStart"/>
      <w:r w:rsidRPr="00085FA6">
        <w:rPr>
          <w:rFonts w:ascii="Times New Roman" w:hAnsi="Times New Roman" w:cs="Times New Roman"/>
          <w:lang w:val="en-GB"/>
        </w:rPr>
        <w:t>Tyma</w:t>
      </w:r>
      <w:proofErr w:type="spellEnd"/>
      <w:r w:rsidRPr="00085FA6">
        <w:rPr>
          <w:rFonts w:ascii="Times New Roman" w:hAnsi="Times New Roman" w:cs="Times New Roman"/>
          <w:lang w:val="en-GB"/>
        </w:rPr>
        <w:t xml:space="preserve"> (2010) provides an overview of personnel costs, fuel costs and chemical costs, which </w:t>
      </w:r>
      <w:r>
        <w:rPr>
          <w:rFonts w:ascii="Times New Roman" w:hAnsi="Times New Roman" w:cs="Times New Roman"/>
          <w:lang w:val="en-GB"/>
        </w:rPr>
        <w:t>have been</w:t>
      </w:r>
      <w:r w:rsidRPr="00085FA6">
        <w:rPr>
          <w:rFonts w:ascii="Times New Roman" w:hAnsi="Times New Roman" w:cs="Times New Roman"/>
          <w:lang w:val="en-GB"/>
        </w:rPr>
        <w:t xml:space="preserve"> allocated to </w:t>
      </w:r>
      <w:proofErr w:type="gramStart"/>
      <w:r w:rsidRPr="00085FA6">
        <w:rPr>
          <w:rFonts w:ascii="Times New Roman" w:hAnsi="Times New Roman" w:cs="Times New Roman"/>
          <w:lang w:val="en-GB"/>
        </w:rPr>
        <w:t>fixed</w:t>
      </w:r>
      <w:proofErr w:type="gramEnd"/>
      <w:r w:rsidRPr="00085FA6">
        <w:rPr>
          <w:rFonts w:ascii="Times New Roman" w:hAnsi="Times New Roman" w:cs="Times New Roman"/>
          <w:lang w:val="en-GB"/>
        </w:rPr>
        <w:t xml:space="preserve"> and variable costs in keeping with the above </w:t>
      </w:r>
      <w:r w:rsidRPr="00085FA6">
        <w:rPr>
          <w:rFonts w:ascii="Times New Roman" w:hAnsi="Times New Roman" w:cs="Times New Roman"/>
          <w:lang w:val="en-GB"/>
        </w:rPr>
        <w:lastRenderedPageBreak/>
        <w:t xml:space="preserve">definition. For </w:t>
      </w:r>
      <w:proofErr w:type="spellStart"/>
      <w:r w:rsidRPr="00085FA6">
        <w:rPr>
          <w:rFonts w:ascii="Times New Roman" w:hAnsi="Times New Roman" w:cs="Times New Roman"/>
          <w:lang w:val="en-GB"/>
        </w:rPr>
        <w:t>biopower</w:t>
      </w:r>
      <w:proofErr w:type="spellEnd"/>
      <w:r w:rsidRPr="00085FA6">
        <w:rPr>
          <w:rFonts w:ascii="Times New Roman" w:hAnsi="Times New Roman" w:cs="Times New Roman"/>
          <w:lang w:val="en-GB"/>
        </w:rPr>
        <w:t xml:space="preserve"> we have used IRENA (2012), and assumed that 42 % of the O&amp;M costs are variable, and 58 % are fixed. The Danish Energy Authority (DEA</w:t>
      </w:r>
      <w:r>
        <w:rPr>
          <w:rFonts w:ascii="Times New Roman" w:hAnsi="Times New Roman" w:cs="Times New Roman"/>
          <w:lang w:val="en-GB"/>
        </w:rPr>
        <w:t xml:space="preserve"> 2010</w:t>
      </w:r>
      <w:r w:rsidRPr="00085FA6">
        <w:rPr>
          <w:rFonts w:ascii="Times New Roman" w:hAnsi="Times New Roman" w:cs="Times New Roman"/>
          <w:lang w:val="en-GB"/>
        </w:rPr>
        <w:t xml:space="preserve">) has detailed O&amp;M data for waste power. </w:t>
      </w:r>
    </w:p>
    <w:p w:rsidR="00EA0538" w:rsidRPr="0052789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In the overview made by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the majority of the studies on hydro power categorise all the O&amp;M costs as fixed</w:t>
      </w:r>
      <w:r>
        <w:rPr>
          <w:rFonts w:ascii="Times New Roman" w:hAnsi="Times New Roman" w:cs="Times New Roman"/>
          <w:lang w:val="en-GB"/>
        </w:rPr>
        <w:t>. In their own dataset they report only fixed O&amp;M</w:t>
      </w:r>
      <w:r w:rsidRPr="00085FA6">
        <w:rPr>
          <w:rFonts w:ascii="Times New Roman" w:hAnsi="Times New Roman" w:cs="Times New Roman"/>
          <w:lang w:val="en-GB"/>
        </w:rPr>
        <w:t xml:space="preserve">.  </w:t>
      </w:r>
      <w:r w:rsidRPr="00527896">
        <w:rPr>
          <w:rFonts w:ascii="Times New Roman" w:hAnsi="Times New Roman" w:cs="Times New Roman"/>
          <w:lang w:val="en-GB"/>
        </w:rPr>
        <w:t xml:space="preserve">The O&amp;M costs for pumped storage, reservoir and run-of-river hydropower in LIBEMOD are based on this.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O&amp;M costs for solar power, geothermal and other renewables are based on data from the technology briefs from IEA ETSAP. </w:t>
      </w:r>
      <w:r>
        <w:rPr>
          <w:rFonts w:ascii="Times New Roman" w:hAnsi="Times New Roman" w:cs="Times New Roman"/>
          <w:lang w:val="en-GB"/>
        </w:rPr>
        <w:t xml:space="preserve">The costs for wind power are based on OECD (2010) and IRENA (2013). </w:t>
      </w:r>
      <w:r w:rsidRPr="00085FA6">
        <w:rPr>
          <w:rFonts w:ascii="Times New Roman" w:hAnsi="Times New Roman" w:cs="Times New Roman"/>
          <w:lang w:val="en-GB"/>
        </w:rPr>
        <w:t xml:space="preserve">For wind power the four studies evaluated by </w:t>
      </w:r>
      <w:proofErr w:type="spellStart"/>
      <w:r w:rsidRPr="00085FA6">
        <w:rPr>
          <w:rFonts w:ascii="Times New Roman" w:hAnsi="Times New Roman" w:cs="Times New Roman"/>
          <w:lang w:val="en-GB"/>
        </w:rPr>
        <w:t>Tidball</w:t>
      </w:r>
      <w:proofErr w:type="spellEnd"/>
      <w:r w:rsidRPr="00085FA6">
        <w:rPr>
          <w:rFonts w:ascii="Times New Roman" w:hAnsi="Times New Roman" w:cs="Times New Roman"/>
          <w:lang w:val="en-GB"/>
        </w:rPr>
        <w:t xml:space="preserve"> et al. (2010) differ considerably</w:t>
      </w:r>
      <w:r>
        <w:rPr>
          <w:rFonts w:ascii="Times New Roman" w:hAnsi="Times New Roman" w:cs="Times New Roman"/>
          <w:lang w:val="en-GB"/>
        </w:rPr>
        <w:t xml:space="preserve"> with respect to the allocation between fixed and variable costs. T</w:t>
      </w:r>
      <w:r w:rsidRPr="00085FA6">
        <w:rPr>
          <w:rFonts w:ascii="Times New Roman" w:hAnsi="Times New Roman" w:cs="Times New Roman"/>
          <w:lang w:val="en-GB"/>
        </w:rPr>
        <w:t xml:space="preserve">wo </w:t>
      </w:r>
      <w:r>
        <w:rPr>
          <w:rFonts w:ascii="Times New Roman" w:hAnsi="Times New Roman" w:cs="Times New Roman"/>
          <w:lang w:val="en-GB"/>
        </w:rPr>
        <w:t>of the studies assume</w:t>
      </w:r>
      <w:r w:rsidRPr="00085FA6">
        <w:rPr>
          <w:rFonts w:ascii="Times New Roman" w:hAnsi="Times New Roman" w:cs="Times New Roman"/>
          <w:lang w:val="en-GB"/>
        </w:rPr>
        <w:t xml:space="preserve"> with 100 % fixed costs, and two 25 % fixed costs and 75 % variable costs.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compares O&amp;M costs for onshore and offshore wind power from various sources and it varies between only fixed, and a split between the two. In their cost proposal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assume all O&amp;M costs are fixed. </w:t>
      </w:r>
      <w:r>
        <w:rPr>
          <w:rFonts w:ascii="Times New Roman" w:hAnsi="Times New Roman" w:cs="Times New Roman"/>
          <w:lang w:val="en-GB"/>
        </w:rPr>
        <w:t>In LIBEMOD</w:t>
      </w:r>
      <w:r w:rsidRPr="00085FA6">
        <w:rPr>
          <w:rFonts w:ascii="Times New Roman" w:hAnsi="Times New Roman" w:cs="Times New Roman"/>
          <w:lang w:val="en-GB"/>
        </w:rPr>
        <w:t xml:space="preserve"> </w:t>
      </w:r>
      <w:r>
        <w:rPr>
          <w:rFonts w:ascii="Times New Roman" w:hAnsi="Times New Roman" w:cs="Times New Roman"/>
          <w:lang w:val="en-GB"/>
        </w:rPr>
        <w:t xml:space="preserve">it is assumed </w:t>
      </w:r>
      <w:r w:rsidRPr="00085FA6">
        <w:rPr>
          <w:rFonts w:ascii="Times New Roman" w:hAnsi="Times New Roman" w:cs="Times New Roman"/>
          <w:lang w:val="en-GB"/>
        </w:rPr>
        <w:t xml:space="preserve">a </w:t>
      </w:r>
      <w:r>
        <w:rPr>
          <w:rFonts w:ascii="Times New Roman" w:hAnsi="Times New Roman" w:cs="Times New Roman"/>
          <w:lang w:val="en-GB"/>
        </w:rPr>
        <w:t>7</w:t>
      </w:r>
      <w:r w:rsidRPr="00085FA6">
        <w:rPr>
          <w:rFonts w:ascii="Times New Roman" w:hAnsi="Times New Roman" w:cs="Times New Roman"/>
          <w:lang w:val="en-GB"/>
        </w:rPr>
        <w:t>5/</w:t>
      </w:r>
      <w:r>
        <w:rPr>
          <w:rFonts w:ascii="Times New Roman" w:hAnsi="Times New Roman" w:cs="Times New Roman"/>
          <w:lang w:val="en-GB"/>
        </w:rPr>
        <w:t>2</w:t>
      </w:r>
      <w:r w:rsidRPr="00085FA6">
        <w:rPr>
          <w:rFonts w:ascii="Times New Roman" w:hAnsi="Times New Roman" w:cs="Times New Roman"/>
          <w:lang w:val="en-GB"/>
        </w:rPr>
        <w:t>5 split between fixed and variable costs.</w:t>
      </w:r>
    </w:p>
    <w:p w:rsidR="00EA0538" w:rsidRPr="000D0AB8" w:rsidRDefault="00EA0538" w:rsidP="00EA0538">
      <w:pPr>
        <w:rPr>
          <w:rFonts w:ascii="Times New Roman" w:hAnsi="Times New Roman" w:cs="Times New Roman"/>
          <w:b/>
          <w:sz w:val="20"/>
          <w:szCs w:val="20"/>
          <w:lang w:val="en-GB"/>
        </w:rPr>
      </w:pPr>
      <w:r w:rsidRPr="00085FA6">
        <w:rPr>
          <w:rFonts w:ascii="Times New Roman" w:hAnsi="Times New Roman" w:cs="Times New Roman"/>
          <w:b/>
          <w:lang w:val="en-GB"/>
        </w:rPr>
        <w:br/>
      </w:r>
      <w:r w:rsidRPr="000D0AB8">
        <w:rPr>
          <w:rFonts w:ascii="Times New Roman" w:hAnsi="Times New Roman" w:cs="Times New Roman"/>
          <w:b/>
          <w:sz w:val="20"/>
          <w:szCs w:val="20"/>
          <w:lang w:val="en-GB"/>
        </w:rPr>
        <w:t>Table</w:t>
      </w:r>
      <w:r>
        <w:rPr>
          <w:rFonts w:ascii="Times New Roman" w:hAnsi="Times New Roman" w:cs="Times New Roman"/>
          <w:b/>
          <w:sz w:val="20"/>
          <w:szCs w:val="20"/>
          <w:lang w:val="en-GB"/>
        </w:rPr>
        <w:t xml:space="preserve"> 4</w:t>
      </w:r>
      <w:r w:rsidRPr="000D0AB8">
        <w:rPr>
          <w:rFonts w:ascii="Times New Roman" w:hAnsi="Times New Roman" w:cs="Times New Roman"/>
          <w:b/>
          <w:sz w:val="20"/>
          <w:szCs w:val="20"/>
          <w:lang w:val="en-GB"/>
        </w:rPr>
        <w:t xml:space="preserve"> Operation and maintenance (O&amp;M) costs </w:t>
      </w:r>
      <w:r>
        <w:rPr>
          <w:rFonts w:ascii="Times New Roman" w:hAnsi="Times New Roman" w:cs="Times New Roman"/>
          <w:b/>
          <w:sz w:val="20"/>
          <w:szCs w:val="20"/>
          <w:lang w:val="en-GB"/>
        </w:rPr>
        <w:t xml:space="preserve">for </w:t>
      </w:r>
      <w:r w:rsidRPr="000D0AB8">
        <w:rPr>
          <w:rFonts w:ascii="Times New Roman" w:hAnsi="Times New Roman" w:cs="Times New Roman"/>
          <w:b/>
          <w:sz w:val="20"/>
          <w:szCs w:val="20"/>
          <w:lang w:val="en-GB"/>
        </w:rPr>
        <w:t xml:space="preserve">existing </w:t>
      </w:r>
      <w:r>
        <w:rPr>
          <w:rFonts w:ascii="Times New Roman" w:hAnsi="Times New Roman" w:cs="Times New Roman"/>
          <w:b/>
          <w:sz w:val="20"/>
          <w:szCs w:val="20"/>
          <w:lang w:val="en-GB"/>
        </w:rPr>
        <w:t xml:space="preserve">power </w:t>
      </w:r>
      <w:r w:rsidRPr="000D0AB8">
        <w:rPr>
          <w:rFonts w:ascii="Times New Roman" w:hAnsi="Times New Roman" w:cs="Times New Roman"/>
          <w:b/>
          <w:sz w:val="20"/>
          <w:szCs w:val="20"/>
          <w:lang w:val="en-GB"/>
        </w:rPr>
        <w:t>plants</w:t>
      </w:r>
    </w:p>
    <w:tbl>
      <w:tblPr>
        <w:tblStyle w:val="LightShading-Accent1"/>
        <w:tblW w:w="0" w:type="auto"/>
        <w:tblLook w:val="04A0" w:firstRow="1" w:lastRow="0" w:firstColumn="1" w:lastColumn="0" w:noHBand="0" w:noVBand="1"/>
      </w:tblPr>
      <w:tblGrid>
        <w:gridCol w:w="3196"/>
        <w:gridCol w:w="3445"/>
        <w:gridCol w:w="2823"/>
      </w:tblGrid>
      <w:tr w:rsidR="00EA0538" w:rsidRPr="00EA0538" w:rsidTr="005F3031">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p>
        </w:tc>
        <w:tc>
          <w:tcPr>
            <w:tcW w:w="3445" w:type="dxa"/>
          </w:tcPr>
          <w:p w:rsidR="00EA053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 xml:space="preserve">Variable </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O&amp;M costs</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w:t>
            </w:r>
            <w:proofErr w:type="spellStart"/>
            <w:r w:rsidRPr="000D0AB8">
              <w:rPr>
                <w:rFonts w:ascii="Times New Roman" w:hAnsi="Times New Roman" w:cs="Times New Roman"/>
                <w:b w:val="0"/>
                <w:sz w:val="20"/>
                <w:szCs w:val="20"/>
                <w:lang w:val="en-GB"/>
              </w:rPr>
              <w:t>MWh</w:t>
            </w:r>
            <w:proofErr w:type="spellEnd"/>
          </w:p>
        </w:tc>
        <w:tc>
          <w:tcPr>
            <w:tcW w:w="2823" w:type="dxa"/>
          </w:tcPr>
          <w:p w:rsidR="00EA053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 xml:space="preserve">Fixed </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O&amp;M costs</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€/kW/year</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Natural gas</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2.2</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11.6</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Coal</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3.6</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18.8</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Lignite</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3.7</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22.6</w:t>
            </w:r>
          </w:p>
        </w:tc>
      </w:tr>
      <w:tr w:rsidR="00EA0538" w:rsidRPr="000D0AB8" w:rsidTr="005F3031">
        <w:trPr>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Oil</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27.9</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6.1</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Nuclear</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5.8</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35.8</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Bio</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3.4</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91.6</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Geothermal</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101.8</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Pumped storage</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20.0</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Reservoir hydro</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20.0</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Run-of-river</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58.8</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Solar PV</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36.4</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Wind</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6.7</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52</w:t>
            </w:r>
            <w:r w:rsidRPr="000D0AB8">
              <w:rPr>
                <w:rFonts w:ascii="Times New Roman" w:hAnsi="Times New Roman" w:cs="Times New Roman"/>
                <w:sz w:val="20"/>
                <w:szCs w:val="20"/>
                <w:lang w:val="en-GB"/>
              </w:rPr>
              <w:t>.0</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Waste</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22.3</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157.0</w:t>
            </w:r>
          </w:p>
        </w:tc>
      </w:tr>
    </w:tbl>
    <w:p w:rsidR="00EA0538" w:rsidRDefault="00EA0538" w:rsidP="00EA0538">
      <w:pPr>
        <w:rPr>
          <w:rFonts w:ascii="Times New Roman" w:hAnsi="Times New Roman" w:cs="Times New Roman"/>
          <w:i/>
          <w:sz w:val="20"/>
          <w:szCs w:val="20"/>
          <w:lang w:val="en-GB"/>
        </w:rPr>
      </w:pPr>
      <w:r w:rsidRPr="00527896">
        <w:rPr>
          <w:rFonts w:ascii="Times New Roman" w:hAnsi="Times New Roman" w:cs="Times New Roman"/>
          <w:i/>
          <w:sz w:val="20"/>
          <w:szCs w:val="20"/>
          <w:lang w:val="fr-FR"/>
        </w:rPr>
        <w:t xml:space="preserve">Sources: NREL (2012), OECD (2010), Schröder et al. </w:t>
      </w:r>
      <w:r w:rsidRPr="00527896">
        <w:rPr>
          <w:rFonts w:ascii="Times New Roman" w:hAnsi="Times New Roman" w:cs="Times New Roman"/>
          <w:i/>
          <w:sz w:val="20"/>
          <w:szCs w:val="20"/>
          <w:lang w:val="en-GB"/>
        </w:rPr>
        <w:t xml:space="preserve">(2013), </w:t>
      </w:r>
      <w:proofErr w:type="spellStart"/>
      <w:r w:rsidRPr="00527896">
        <w:rPr>
          <w:rFonts w:ascii="Times New Roman" w:hAnsi="Times New Roman" w:cs="Times New Roman"/>
          <w:i/>
          <w:sz w:val="20"/>
          <w:szCs w:val="20"/>
          <w:lang w:val="en-GB"/>
        </w:rPr>
        <w:t>Tidball</w:t>
      </w:r>
      <w:proofErr w:type="spellEnd"/>
      <w:r w:rsidRPr="00527896">
        <w:rPr>
          <w:rFonts w:ascii="Times New Roman" w:hAnsi="Times New Roman" w:cs="Times New Roman"/>
          <w:i/>
          <w:sz w:val="20"/>
          <w:szCs w:val="20"/>
          <w:lang w:val="en-GB"/>
        </w:rPr>
        <w:t xml:space="preserve"> et al. (2010), </w:t>
      </w:r>
      <w:proofErr w:type="spellStart"/>
      <w:r w:rsidRPr="00527896">
        <w:rPr>
          <w:rFonts w:ascii="Times New Roman" w:hAnsi="Times New Roman" w:cs="Times New Roman"/>
          <w:i/>
          <w:sz w:val="20"/>
          <w:szCs w:val="20"/>
          <w:lang w:val="en-GB"/>
        </w:rPr>
        <w:t>Tyma</w:t>
      </w:r>
      <w:proofErr w:type="spellEnd"/>
      <w:r w:rsidRPr="00527896">
        <w:rPr>
          <w:rFonts w:ascii="Times New Roman" w:hAnsi="Times New Roman" w:cs="Times New Roman"/>
          <w:i/>
          <w:sz w:val="20"/>
          <w:szCs w:val="20"/>
          <w:lang w:val="en-GB"/>
        </w:rPr>
        <w:t xml:space="preserve"> (2010)</w:t>
      </w:r>
      <w:r>
        <w:rPr>
          <w:rFonts w:ascii="Times New Roman" w:hAnsi="Times New Roman" w:cs="Times New Roman"/>
          <w:i/>
          <w:sz w:val="20"/>
          <w:szCs w:val="20"/>
          <w:lang w:val="en-GB"/>
        </w:rPr>
        <w:t>, IRENA (2012), DEA (2010), IEA ETSAP Technology Briefs</w:t>
      </w:r>
      <w:r w:rsidRPr="00527896">
        <w:rPr>
          <w:rFonts w:ascii="Times New Roman" w:hAnsi="Times New Roman" w:cs="Times New Roman"/>
          <w:i/>
          <w:sz w:val="20"/>
          <w:szCs w:val="20"/>
          <w:lang w:val="en-GB"/>
        </w:rPr>
        <w:t xml:space="preserve"> </w:t>
      </w:r>
      <w:r>
        <w:rPr>
          <w:rFonts w:ascii="Times New Roman" w:hAnsi="Times New Roman" w:cs="Times New Roman"/>
          <w:i/>
          <w:sz w:val="20"/>
          <w:szCs w:val="20"/>
          <w:lang w:val="en-GB"/>
        </w:rPr>
        <w:t>and own assumptions.</w:t>
      </w:r>
    </w:p>
    <w:p w:rsidR="00EA0538" w:rsidRDefault="00EA0538" w:rsidP="00EA0538">
      <w:pPr>
        <w:rPr>
          <w:rFonts w:ascii="Times New Roman" w:hAnsi="Times New Roman" w:cs="Times New Roman"/>
          <w:lang w:val="en-GB"/>
        </w:rPr>
      </w:pPr>
      <w:r>
        <w:rPr>
          <w:rFonts w:ascii="Times New Roman" w:hAnsi="Times New Roman" w:cs="Times New Roman"/>
          <w:lang w:val="en-GB"/>
        </w:rPr>
        <w:t>For mature technologies the same O&amp;M costs have been used for existing plants and new plants. For bio, solar and wind power the costs for new plants are based on the same sources,</w:t>
      </w:r>
      <w:r>
        <w:rPr>
          <w:rStyle w:val="FootnoteReference"/>
          <w:rFonts w:ascii="Times New Roman" w:hAnsi="Times New Roman" w:cs="Times New Roman"/>
          <w:lang w:val="en-GB"/>
        </w:rPr>
        <w:footnoteReference w:id="17"/>
      </w:r>
      <w:r>
        <w:rPr>
          <w:rFonts w:ascii="Times New Roman" w:hAnsi="Times New Roman" w:cs="Times New Roman"/>
          <w:lang w:val="en-GB"/>
        </w:rPr>
        <w:t xml:space="preserve"> but lower than for existing plants reflecting cost reductions as these technologies mature. </w:t>
      </w:r>
    </w:p>
    <w:p w:rsidR="00EA0538" w:rsidRDefault="00EA0538" w:rsidP="00EA0538">
      <w:pPr>
        <w:rPr>
          <w:rFonts w:ascii="Times New Roman" w:hAnsi="Times New Roman" w:cs="Times New Roman"/>
          <w:lang w:val="en-GB"/>
        </w:rPr>
      </w:pPr>
      <w:r w:rsidRPr="0067526B">
        <w:rPr>
          <w:rFonts w:ascii="Times New Roman" w:hAnsi="Times New Roman" w:cs="Times New Roman"/>
          <w:lang w:val="en-GB"/>
        </w:rPr>
        <w:t>F</w:t>
      </w:r>
      <w:r>
        <w:rPr>
          <w:rFonts w:ascii="Times New Roman" w:hAnsi="Times New Roman" w:cs="Times New Roman"/>
          <w:lang w:val="en-GB"/>
        </w:rPr>
        <w:t xml:space="preserve">or the CCS technologies the O&amp;M costs for </w:t>
      </w:r>
      <w:proofErr w:type="gramStart"/>
      <w:r>
        <w:rPr>
          <w:rFonts w:ascii="Times New Roman" w:hAnsi="Times New Roman" w:cs="Times New Roman"/>
          <w:lang w:val="en-GB"/>
        </w:rPr>
        <w:t>greenfield</w:t>
      </w:r>
      <w:proofErr w:type="gramEnd"/>
      <w:r>
        <w:rPr>
          <w:rFonts w:ascii="Times New Roman" w:hAnsi="Times New Roman" w:cs="Times New Roman"/>
          <w:lang w:val="en-GB"/>
        </w:rPr>
        <w:t xml:space="preserve"> plants are taken from ZEP (2011) and for retrofitted plants from IEA GHG (2011). However, the O&amp;M costs for retrofitted coal plants have been adjusted somewhat as they were lower than for </w:t>
      </w:r>
      <w:proofErr w:type="gramStart"/>
      <w:r>
        <w:rPr>
          <w:rFonts w:ascii="Times New Roman" w:hAnsi="Times New Roman" w:cs="Times New Roman"/>
          <w:lang w:val="en-GB"/>
        </w:rPr>
        <w:t>greenfield</w:t>
      </w:r>
      <w:proofErr w:type="gramEnd"/>
      <w:r>
        <w:rPr>
          <w:rFonts w:ascii="Times New Roman" w:hAnsi="Times New Roman" w:cs="Times New Roman"/>
          <w:lang w:val="en-GB"/>
        </w:rPr>
        <w:t xml:space="preserve"> plans.</w:t>
      </w:r>
      <w:r>
        <w:rPr>
          <w:rStyle w:val="FootnoteReference"/>
          <w:rFonts w:ascii="Times New Roman" w:hAnsi="Times New Roman" w:cs="Times New Roman"/>
          <w:lang w:val="en-GB"/>
        </w:rPr>
        <w:footnoteReference w:id="18"/>
      </w:r>
      <w:r>
        <w:rPr>
          <w:rFonts w:ascii="Times New Roman" w:hAnsi="Times New Roman" w:cs="Times New Roman"/>
          <w:lang w:val="en-GB"/>
        </w:rPr>
        <w:t xml:space="preserve"> </w:t>
      </w:r>
    </w:p>
    <w:p w:rsidR="00EA0538" w:rsidRDefault="00EA0538" w:rsidP="00EA0538">
      <w:pPr>
        <w:rPr>
          <w:rFonts w:ascii="Times New Roman" w:hAnsi="Times New Roman" w:cs="Times New Roman"/>
          <w:b/>
          <w:sz w:val="20"/>
          <w:szCs w:val="20"/>
          <w:lang w:val="en-GB"/>
        </w:rPr>
      </w:pPr>
      <w:r w:rsidRPr="00AC5431">
        <w:rPr>
          <w:rFonts w:ascii="Times New Roman" w:hAnsi="Times New Roman" w:cs="Times New Roman"/>
          <w:b/>
          <w:lang w:val="en-GB"/>
        </w:rPr>
        <w:t>Table 5</w:t>
      </w:r>
      <w:r>
        <w:rPr>
          <w:rFonts w:ascii="Times New Roman" w:hAnsi="Times New Roman" w:cs="Times New Roman"/>
          <w:lang w:val="en-GB"/>
        </w:rPr>
        <w:t xml:space="preserve"> </w:t>
      </w:r>
      <w:r w:rsidRPr="000D0AB8">
        <w:rPr>
          <w:rFonts w:ascii="Times New Roman" w:hAnsi="Times New Roman" w:cs="Times New Roman"/>
          <w:b/>
          <w:sz w:val="20"/>
          <w:szCs w:val="20"/>
          <w:lang w:val="en-GB"/>
        </w:rPr>
        <w:t xml:space="preserve">Operation and maintenance (O&amp;M) costs </w:t>
      </w:r>
      <w:r>
        <w:rPr>
          <w:rFonts w:ascii="Times New Roman" w:hAnsi="Times New Roman" w:cs="Times New Roman"/>
          <w:b/>
          <w:sz w:val="20"/>
          <w:szCs w:val="20"/>
          <w:lang w:val="en-GB"/>
        </w:rPr>
        <w:t>for new power</w:t>
      </w:r>
      <w:r w:rsidRPr="000D0AB8">
        <w:rPr>
          <w:rFonts w:ascii="Times New Roman" w:hAnsi="Times New Roman" w:cs="Times New Roman"/>
          <w:b/>
          <w:sz w:val="20"/>
          <w:szCs w:val="20"/>
          <w:lang w:val="en-GB"/>
        </w:rPr>
        <w:t xml:space="preserve"> plants</w:t>
      </w:r>
    </w:p>
    <w:tbl>
      <w:tblPr>
        <w:tblStyle w:val="LightShading-Accent1"/>
        <w:tblW w:w="0" w:type="auto"/>
        <w:tblLook w:val="04A0" w:firstRow="1" w:lastRow="0" w:firstColumn="1" w:lastColumn="0" w:noHBand="0" w:noVBand="1"/>
      </w:tblPr>
      <w:tblGrid>
        <w:gridCol w:w="3196"/>
        <w:gridCol w:w="3445"/>
        <w:gridCol w:w="2823"/>
      </w:tblGrid>
      <w:tr w:rsidR="00EA0538" w:rsidRPr="00EA0538" w:rsidTr="005F3031">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p>
        </w:tc>
        <w:tc>
          <w:tcPr>
            <w:tcW w:w="3445" w:type="dxa"/>
          </w:tcPr>
          <w:p w:rsidR="00EA053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 xml:space="preserve">Variable </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O&amp;M costs</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w:t>
            </w:r>
            <w:proofErr w:type="spellStart"/>
            <w:r w:rsidRPr="000D0AB8">
              <w:rPr>
                <w:rFonts w:ascii="Times New Roman" w:hAnsi="Times New Roman" w:cs="Times New Roman"/>
                <w:b w:val="0"/>
                <w:sz w:val="20"/>
                <w:szCs w:val="20"/>
                <w:lang w:val="en-GB"/>
              </w:rPr>
              <w:t>MWh</w:t>
            </w:r>
            <w:proofErr w:type="spellEnd"/>
          </w:p>
        </w:tc>
        <w:tc>
          <w:tcPr>
            <w:tcW w:w="2823" w:type="dxa"/>
          </w:tcPr>
          <w:p w:rsidR="00EA053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 xml:space="preserve">Fixed </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O&amp;M costs</w:t>
            </w:r>
          </w:p>
          <w:p w:rsidR="00EA0538" w:rsidRPr="000D0AB8"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€/kW/year</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Natural gas</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2.2</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11.6</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Coal</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3.6</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18.8</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Lignite</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3.7</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22.6</w:t>
            </w:r>
          </w:p>
        </w:tc>
      </w:tr>
      <w:tr w:rsidR="00EA0538" w:rsidRPr="000D0AB8" w:rsidTr="005F3031">
        <w:trPr>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Oil</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27.9</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6.1</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lastRenderedPageBreak/>
              <w:t>Nuclear</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5.8</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68</w:t>
            </w:r>
            <w:r w:rsidRPr="000D0AB8">
              <w:rPr>
                <w:rFonts w:ascii="Times New Roman" w:hAnsi="Times New Roman" w:cs="Times New Roman"/>
                <w:sz w:val="20"/>
                <w:szCs w:val="20"/>
                <w:lang w:val="en-GB"/>
              </w:rPr>
              <w:t>.</w:t>
            </w:r>
            <w:r>
              <w:rPr>
                <w:rFonts w:ascii="Times New Roman" w:hAnsi="Times New Roman" w:cs="Times New Roman"/>
                <w:sz w:val="20"/>
                <w:szCs w:val="20"/>
                <w:lang w:val="en-GB"/>
              </w:rPr>
              <w:t>7</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Bio</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w:t>
            </w:r>
            <w:r w:rsidRPr="000D0AB8">
              <w:rPr>
                <w:rFonts w:ascii="Times New Roman" w:hAnsi="Times New Roman" w:cs="Times New Roman"/>
                <w:sz w:val="20"/>
                <w:szCs w:val="20"/>
                <w:lang w:val="en-GB"/>
              </w:rPr>
              <w:t>.</w:t>
            </w:r>
            <w:r>
              <w:rPr>
                <w:rFonts w:ascii="Times New Roman" w:hAnsi="Times New Roman" w:cs="Times New Roman"/>
                <w:sz w:val="20"/>
                <w:szCs w:val="20"/>
                <w:lang w:val="en-GB"/>
              </w:rPr>
              <w:t>8</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80.7</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Pumped storage</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20.0</w:t>
            </w:r>
          </w:p>
        </w:tc>
      </w:tr>
      <w:tr w:rsidR="00EA0538" w:rsidRPr="000D0AB8" w:rsidTr="005F3031">
        <w:trPr>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Reservoir hydro</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20.0</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Run-of-river</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58.8</w:t>
            </w:r>
          </w:p>
        </w:tc>
      </w:tr>
      <w:tr w:rsidR="00EA0538" w:rsidRPr="000D0AB8" w:rsidTr="005F3031">
        <w:trPr>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Solar PV</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D0AB8">
              <w:rPr>
                <w:rFonts w:ascii="Times New Roman" w:hAnsi="Times New Roman" w:cs="Times New Roman"/>
                <w:sz w:val="20"/>
                <w:szCs w:val="20"/>
                <w:lang w:val="en-GB"/>
              </w:rPr>
              <w:t>-</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25</w:t>
            </w:r>
            <w:r w:rsidRPr="000D0AB8">
              <w:rPr>
                <w:rFonts w:ascii="Times New Roman" w:hAnsi="Times New Roman" w:cs="Times New Roman"/>
                <w:sz w:val="20"/>
                <w:szCs w:val="20"/>
                <w:lang w:val="en-GB"/>
              </w:rPr>
              <w:t>.</w:t>
            </w:r>
            <w:r>
              <w:rPr>
                <w:rFonts w:ascii="Times New Roman" w:hAnsi="Times New Roman" w:cs="Times New Roman"/>
                <w:sz w:val="20"/>
                <w:szCs w:val="20"/>
                <w:lang w:val="en-GB"/>
              </w:rPr>
              <w:t>4</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sidRPr="000D0AB8">
              <w:rPr>
                <w:rFonts w:ascii="Times New Roman" w:hAnsi="Times New Roman" w:cs="Times New Roman"/>
                <w:b w:val="0"/>
                <w:sz w:val="20"/>
                <w:szCs w:val="20"/>
                <w:lang w:val="en-GB"/>
              </w:rPr>
              <w:t>Wind</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w:t>
            </w:r>
            <w:r w:rsidRPr="000D0AB8">
              <w:rPr>
                <w:rFonts w:ascii="Times New Roman" w:hAnsi="Times New Roman" w:cs="Times New Roman"/>
                <w:sz w:val="20"/>
                <w:szCs w:val="20"/>
                <w:lang w:val="en-GB"/>
              </w:rPr>
              <w:t>.</w:t>
            </w:r>
            <w:r>
              <w:rPr>
                <w:rFonts w:ascii="Times New Roman" w:hAnsi="Times New Roman" w:cs="Times New Roman"/>
                <w:sz w:val="20"/>
                <w:szCs w:val="20"/>
                <w:lang w:val="en-GB"/>
              </w:rPr>
              <w:t>4</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19.5</w:t>
            </w:r>
          </w:p>
        </w:tc>
      </w:tr>
      <w:tr w:rsidR="00EA0538" w:rsidRPr="000D0AB8" w:rsidTr="005F3031">
        <w:trPr>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Pr>
                <w:rFonts w:ascii="Times New Roman" w:hAnsi="Times New Roman" w:cs="Times New Roman"/>
                <w:b w:val="0"/>
                <w:sz w:val="20"/>
                <w:szCs w:val="20"/>
                <w:lang w:val="en-GB"/>
              </w:rPr>
              <w:t>CCS coal greenfield</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3.3</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57.2</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Pr>
                <w:rFonts w:ascii="Times New Roman" w:hAnsi="Times New Roman" w:cs="Times New Roman"/>
                <w:b w:val="0"/>
                <w:sz w:val="20"/>
                <w:szCs w:val="20"/>
                <w:lang w:val="en-GB"/>
              </w:rPr>
              <w:t>CCS coal retrofit</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7.1</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51.4</w:t>
            </w:r>
          </w:p>
        </w:tc>
      </w:tr>
      <w:tr w:rsidR="00EA0538" w:rsidRPr="000D0AB8" w:rsidTr="005F3031">
        <w:trPr>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Pr>
                <w:rFonts w:ascii="Times New Roman" w:hAnsi="Times New Roman" w:cs="Times New Roman"/>
                <w:b w:val="0"/>
                <w:sz w:val="20"/>
                <w:szCs w:val="20"/>
                <w:lang w:val="en-GB"/>
              </w:rPr>
              <w:t>CCS gas greenfield</w:t>
            </w:r>
          </w:p>
        </w:tc>
        <w:tc>
          <w:tcPr>
            <w:tcW w:w="3445"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2823" w:type="dxa"/>
          </w:tcPr>
          <w:p w:rsidR="00EA0538" w:rsidRPr="000D0AB8"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33.7</w:t>
            </w:r>
          </w:p>
        </w:tc>
      </w:tr>
      <w:tr w:rsidR="00EA0538" w:rsidRPr="000D0AB8" w:rsidTr="005F30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96" w:type="dxa"/>
          </w:tcPr>
          <w:p w:rsidR="00EA0538" w:rsidRPr="000D0AB8" w:rsidRDefault="00EA0538" w:rsidP="005F3031">
            <w:pPr>
              <w:rPr>
                <w:rFonts w:ascii="Times New Roman" w:hAnsi="Times New Roman" w:cs="Times New Roman"/>
                <w:b w:val="0"/>
                <w:sz w:val="20"/>
                <w:szCs w:val="20"/>
                <w:lang w:val="en-GB"/>
              </w:rPr>
            </w:pPr>
            <w:r>
              <w:rPr>
                <w:rFonts w:ascii="Times New Roman" w:hAnsi="Times New Roman" w:cs="Times New Roman"/>
                <w:b w:val="0"/>
                <w:sz w:val="20"/>
                <w:szCs w:val="20"/>
                <w:lang w:val="en-GB"/>
              </w:rPr>
              <w:t>CCS gas retrofit</w:t>
            </w:r>
          </w:p>
        </w:tc>
        <w:tc>
          <w:tcPr>
            <w:tcW w:w="3445"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2823" w:type="dxa"/>
          </w:tcPr>
          <w:p w:rsidR="00EA0538" w:rsidRPr="000D0AB8"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46.8</w:t>
            </w:r>
          </w:p>
        </w:tc>
      </w:tr>
    </w:tbl>
    <w:p w:rsidR="00EA0538" w:rsidRDefault="00EA0538" w:rsidP="00EA0538">
      <w:pPr>
        <w:rPr>
          <w:rFonts w:ascii="Times New Roman" w:hAnsi="Times New Roman" w:cs="Times New Roman"/>
          <w:i/>
          <w:sz w:val="20"/>
          <w:szCs w:val="20"/>
          <w:lang w:val="en-GB"/>
        </w:rPr>
      </w:pPr>
      <w:r w:rsidRPr="00527896">
        <w:rPr>
          <w:rFonts w:ascii="Times New Roman" w:hAnsi="Times New Roman" w:cs="Times New Roman"/>
          <w:i/>
          <w:sz w:val="20"/>
          <w:szCs w:val="20"/>
          <w:lang w:val="fr-FR"/>
        </w:rPr>
        <w:t xml:space="preserve">Sources: NREL (2012), OECD (2010), Schröder et al. </w:t>
      </w:r>
      <w:r w:rsidRPr="00527896">
        <w:rPr>
          <w:rFonts w:ascii="Times New Roman" w:hAnsi="Times New Roman" w:cs="Times New Roman"/>
          <w:i/>
          <w:sz w:val="20"/>
          <w:szCs w:val="20"/>
          <w:lang w:val="en-GB"/>
        </w:rPr>
        <w:t xml:space="preserve">(2013), </w:t>
      </w:r>
      <w:proofErr w:type="spellStart"/>
      <w:r w:rsidRPr="00527896">
        <w:rPr>
          <w:rFonts w:ascii="Times New Roman" w:hAnsi="Times New Roman" w:cs="Times New Roman"/>
          <w:i/>
          <w:sz w:val="20"/>
          <w:szCs w:val="20"/>
          <w:lang w:val="en-GB"/>
        </w:rPr>
        <w:t>Tidball</w:t>
      </w:r>
      <w:proofErr w:type="spellEnd"/>
      <w:r w:rsidRPr="00527896">
        <w:rPr>
          <w:rFonts w:ascii="Times New Roman" w:hAnsi="Times New Roman" w:cs="Times New Roman"/>
          <w:i/>
          <w:sz w:val="20"/>
          <w:szCs w:val="20"/>
          <w:lang w:val="en-GB"/>
        </w:rPr>
        <w:t xml:space="preserve"> et al. (2010), </w:t>
      </w:r>
      <w:proofErr w:type="spellStart"/>
      <w:r w:rsidRPr="00527896">
        <w:rPr>
          <w:rFonts w:ascii="Times New Roman" w:hAnsi="Times New Roman" w:cs="Times New Roman"/>
          <w:i/>
          <w:sz w:val="20"/>
          <w:szCs w:val="20"/>
          <w:lang w:val="en-GB"/>
        </w:rPr>
        <w:t>Tyma</w:t>
      </w:r>
      <w:proofErr w:type="spellEnd"/>
      <w:r w:rsidRPr="00527896">
        <w:rPr>
          <w:rFonts w:ascii="Times New Roman" w:hAnsi="Times New Roman" w:cs="Times New Roman"/>
          <w:i/>
          <w:sz w:val="20"/>
          <w:szCs w:val="20"/>
          <w:lang w:val="en-GB"/>
        </w:rPr>
        <w:t xml:space="preserve"> (2010)</w:t>
      </w:r>
      <w:r>
        <w:rPr>
          <w:rFonts w:ascii="Times New Roman" w:hAnsi="Times New Roman" w:cs="Times New Roman"/>
          <w:i/>
          <w:sz w:val="20"/>
          <w:szCs w:val="20"/>
          <w:lang w:val="en-GB"/>
        </w:rPr>
        <w:t>, IRENA (2012), DEA (2010), IEA ETSAP Technology Briefs</w:t>
      </w:r>
      <w:r w:rsidRPr="00527896">
        <w:rPr>
          <w:rFonts w:ascii="Times New Roman" w:hAnsi="Times New Roman" w:cs="Times New Roman"/>
          <w:i/>
          <w:sz w:val="20"/>
          <w:szCs w:val="20"/>
          <w:lang w:val="en-GB"/>
        </w:rPr>
        <w:t xml:space="preserve"> </w:t>
      </w:r>
      <w:r>
        <w:rPr>
          <w:rFonts w:ascii="Times New Roman" w:hAnsi="Times New Roman" w:cs="Times New Roman"/>
          <w:i/>
          <w:sz w:val="20"/>
          <w:szCs w:val="20"/>
          <w:lang w:val="en-GB"/>
        </w:rPr>
        <w:t>and own assumptions.</w:t>
      </w:r>
    </w:p>
    <w:p w:rsidR="00EA0538" w:rsidRPr="00085FA6" w:rsidRDefault="00EA0538" w:rsidP="00EA0538">
      <w:pPr>
        <w:pStyle w:val="Heading3"/>
        <w:jc w:val="both"/>
        <w:rPr>
          <w:rFonts w:ascii="Times New Roman" w:hAnsi="Times New Roman" w:cs="Times New Roman"/>
          <w:lang w:val="en-GB"/>
        </w:rPr>
      </w:pPr>
      <w:r w:rsidRPr="00085FA6">
        <w:rPr>
          <w:rFonts w:ascii="Times New Roman" w:hAnsi="Times New Roman" w:cs="Times New Roman"/>
          <w:lang w:val="en-GB"/>
        </w:rPr>
        <w:br/>
      </w:r>
      <w:bookmarkStart w:id="18" w:name="_Toc386631731"/>
      <w:r w:rsidRPr="00085FA6">
        <w:rPr>
          <w:rFonts w:ascii="Times New Roman" w:hAnsi="Times New Roman" w:cs="Times New Roman"/>
          <w:lang w:val="en-GB"/>
        </w:rPr>
        <w:t>3.3.4 Start-up costs</w:t>
      </w:r>
      <w:bookmarkEnd w:id="18"/>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Historically most thermal power plant capacity has been used for base load generation, but in recent years more flexibility has been required as a result of more intermittent renewable energy entering the power grid. A detailed modelling of start-up requires distinction between different types of start-up, depending on for how long the power plant has been turned off. In the literature the usual distinction is between cold, warm and hot starts. How these start-ups are defined may vary due to plant specific conditions.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refer to the following definition: </w:t>
      </w:r>
    </w:p>
    <w:p w:rsidR="00EA0538" w:rsidRPr="00085FA6" w:rsidRDefault="00EA0538" w:rsidP="00EA0538">
      <w:pPr>
        <w:rPr>
          <w:rFonts w:ascii="Times New Roman" w:hAnsi="Times New Roman" w:cs="Times New Roman"/>
          <w:lang w:val="en-GB"/>
        </w:rPr>
      </w:pPr>
      <w:r w:rsidRPr="00085FA6">
        <w:rPr>
          <w:rFonts w:ascii="Times New Roman" w:hAnsi="Times New Roman" w:cs="Times New Roman"/>
          <w:lang w:val="en-GB"/>
        </w:rPr>
        <w:t>Cold start:</w:t>
      </w:r>
      <w:r w:rsidRPr="00085FA6">
        <w:rPr>
          <w:rFonts w:ascii="Times New Roman" w:hAnsi="Times New Roman" w:cs="Times New Roman"/>
          <w:lang w:val="en-GB"/>
        </w:rPr>
        <w:tab/>
        <w:t>When a plant is shut down longer than 50 hours.</w:t>
      </w:r>
      <w:r w:rsidRPr="00085FA6">
        <w:rPr>
          <w:rFonts w:ascii="Times New Roman" w:hAnsi="Times New Roman" w:cs="Times New Roman"/>
          <w:lang w:val="en-GB"/>
        </w:rPr>
        <w:br/>
        <w:t>Warm start:</w:t>
      </w:r>
      <w:r w:rsidRPr="00085FA6">
        <w:rPr>
          <w:rFonts w:ascii="Times New Roman" w:hAnsi="Times New Roman" w:cs="Times New Roman"/>
          <w:lang w:val="en-GB"/>
        </w:rPr>
        <w:tab/>
        <w:t>When a plant has been turned off for less than 50 hours, but more than 8 hours.</w:t>
      </w:r>
      <w:r w:rsidRPr="00085FA6">
        <w:rPr>
          <w:rFonts w:ascii="Times New Roman" w:hAnsi="Times New Roman" w:cs="Times New Roman"/>
          <w:lang w:val="en-GB"/>
        </w:rPr>
        <w:br/>
        <w:t>Hot start:</w:t>
      </w:r>
      <w:r w:rsidRPr="00085FA6">
        <w:rPr>
          <w:rFonts w:ascii="Times New Roman" w:hAnsi="Times New Roman" w:cs="Times New Roman"/>
          <w:lang w:val="en-GB"/>
        </w:rPr>
        <w:tab/>
        <w:t xml:space="preserve">When a plant has been turned off for less than 8 hours.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Technical parameters like start-up times, ramping load gradients,</w:t>
      </w:r>
      <w:r w:rsidRPr="00085FA6">
        <w:rPr>
          <w:rStyle w:val="FootnoteReference"/>
          <w:rFonts w:ascii="Times New Roman" w:hAnsi="Times New Roman" w:cs="Times New Roman"/>
          <w:lang w:val="en-GB"/>
        </w:rPr>
        <w:footnoteReference w:id="19"/>
      </w:r>
      <w:r w:rsidRPr="00085FA6">
        <w:rPr>
          <w:rFonts w:ascii="Times New Roman" w:hAnsi="Times New Roman" w:cs="Times New Roman"/>
          <w:lang w:val="en-GB"/>
        </w:rPr>
        <w:t xml:space="preserve"> minimum up- and downtime and minimum load, along with the economic parameters linked to costs and efficiencies have to be taken into account to model start-up accurately. This requires power market models with a plant specific resolution. In LIBEMOD we only model day/night and summer/winter and the model is not power plant specific. As a result our modelling of start-up costs is very simplified and the whole fleet of power plants is considered as one block. Each technology has a given amount of cold starts per season.</w:t>
      </w:r>
      <w:r w:rsidRPr="00085FA6">
        <w:rPr>
          <w:rStyle w:val="FootnoteReference"/>
          <w:rFonts w:ascii="Times New Roman" w:hAnsi="Times New Roman" w:cs="Times New Roman"/>
          <w:lang w:val="en-GB"/>
        </w:rPr>
        <w:footnoteReference w:id="20"/>
      </w:r>
      <w:r w:rsidRPr="00085FA6">
        <w:rPr>
          <w:rFonts w:ascii="Times New Roman" w:hAnsi="Times New Roman" w:cs="Times New Roman"/>
          <w:lang w:val="en-GB"/>
        </w:rPr>
        <w:t xml:space="preserve"> We assume that the start-up costs consist of two components. One is linked to fuel costs due to the higher fuel use during the starting process, and the other to fatigue costs as a result of wear and tear on the power plant from stopping and starting.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sources for start-up costs are limited, and as outlined above they are often linked to various assumptions related to start-up times and power plant characteristics. We have chosen to use data from DENA 2005,</w:t>
      </w:r>
      <w:r w:rsidRPr="00085FA6">
        <w:rPr>
          <w:rStyle w:val="FootnoteReference"/>
          <w:rFonts w:ascii="Times New Roman" w:hAnsi="Times New Roman" w:cs="Times New Roman"/>
          <w:lang w:val="en-GB"/>
        </w:rPr>
        <w:footnoteReference w:id="21"/>
      </w:r>
      <w:r w:rsidRPr="00085FA6">
        <w:rPr>
          <w:rFonts w:ascii="Times New Roman" w:hAnsi="Times New Roman" w:cs="Times New Roman"/>
          <w:lang w:val="en-GB"/>
        </w:rPr>
        <w:t xml:space="preserve"> which provides costs per cold start and start-up fuel use for combined cycle gas turbine (CCGT), hard coal, </w:t>
      </w:r>
      <w:proofErr w:type="gramStart"/>
      <w:r w:rsidRPr="00085FA6">
        <w:rPr>
          <w:rFonts w:ascii="Times New Roman" w:hAnsi="Times New Roman" w:cs="Times New Roman"/>
          <w:lang w:val="en-GB"/>
        </w:rPr>
        <w:t>lignite</w:t>
      </w:r>
      <w:proofErr w:type="gramEnd"/>
      <w:r w:rsidRPr="00085FA6">
        <w:rPr>
          <w:rFonts w:ascii="Times New Roman" w:hAnsi="Times New Roman" w:cs="Times New Roman"/>
          <w:lang w:val="en-GB"/>
        </w:rPr>
        <w:t xml:space="preserve"> and nuclear power plants</w:t>
      </w:r>
      <w:r w:rsidRPr="00085FA6">
        <w:rPr>
          <w:rStyle w:val="FootnoteReference"/>
          <w:rFonts w:ascii="Times New Roman" w:hAnsi="Times New Roman" w:cs="Times New Roman"/>
          <w:lang w:val="en-GB"/>
        </w:rPr>
        <w:footnoteReference w:id="22"/>
      </w:r>
      <w:r w:rsidRPr="00085FA6">
        <w:rPr>
          <w:rFonts w:ascii="Times New Roman" w:hAnsi="Times New Roman" w:cs="Times New Roman"/>
          <w:lang w:val="en-GB"/>
        </w:rPr>
        <w:t xml:space="preserve">. </w:t>
      </w:r>
    </w:p>
    <w:p w:rsidR="00EA0538" w:rsidRPr="00D500F9" w:rsidRDefault="00EA0538" w:rsidP="00EA0538">
      <w:pPr>
        <w:jc w:val="both"/>
        <w:rPr>
          <w:rFonts w:ascii="Times New Roman" w:hAnsi="Times New Roman" w:cs="Times New Roman"/>
          <w:b/>
          <w:sz w:val="20"/>
          <w:szCs w:val="20"/>
          <w:lang w:val="en-GB"/>
        </w:rPr>
      </w:pPr>
      <w:r w:rsidRPr="00085FA6">
        <w:rPr>
          <w:rFonts w:ascii="Times New Roman" w:hAnsi="Times New Roman" w:cs="Times New Roman"/>
          <w:b/>
          <w:lang w:val="en-GB"/>
        </w:rPr>
        <w:br/>
      </w:r>
      <w:r>
        <w:rPr>
          <w:rFonts w:ascii="Times New Roman" w:hAnsi="Times New Roman" w:cs="Times New Roman"/>
          <w:b/>
          <w:sz w:val="20"/>
          <w:szCs w:val="20"/>
          <w:lang w:val="en-GB"/>
        </w:rPr>
        <w:t>Table 6</w:t>
      </w:r>
      <w:r w:rsidRPr="00D500F9">
        <w:rPr>
          <w:rFonts w:ascii="Times New Roman" w:hAnsi="Times New Roman" w:cs="Times New Roman"/>
          <w:b/>
          <w:sz w:val="20"/>
          <w:szCs w:val="20"/>
          <w:lang w:val="en-GB"/>
        </w:rPr>
        <w:t xml:space="preserve"> Start-up assumptions</w:t>
      </w:r>
    </w:p>
    <w:tbl>
      <w:tblPr>
        <w:tblStyle w:val="LightShading-Accent1"/>
        <w:tblW w:w="0" w:type="auto"/>
        <w:tblLook w:val="04A0" w:firstRow="1" w:lastRow="0" w:firstColumn="1" w:lastColumn="0" w:noHBand="0" w:noVBand="1"/>
      </w:tblPr>
      <w:tblGrid>
        <w:gridCol w:w="2651"/>
        <w:gridCol w:w="2651"/>
        <w:gridCol w:w="2652"/>
        <w:gridCol w:w="2652"/>
      </w:tblGrid>
      <w:tr w:rsidR="00EA0538" w:rsidRPr="00EA0538"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jc w:val="center"/>
              <w:rPr>
                <w:rFonts w:ascii="Times New Roman" w:hAnsi="Times New Roman" w:cs="Times New Roman"/>
                <w:b w:val="0"/>
                <w:sz w:val="20"/>
                <w:szCs w:val="20"/>
                <w:lang w:val="en-GB"/>
              </w:rPr>
            </w:pPr>
          </w:p>
        </w:tc>
        <w:tc>
          <w:tcPr>
            <w:tcW w:w="2651" w:type="dxa"/>
          </w:tcPr>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Assumed number of</w:t>
            </w:r>
          </w:p>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 xml:space="preserve">start-ups per season </w:t>
            </w:r>
          </w:p>
        </w:tc>
        <w:tc>
          <w:tcPr>
            <w:tcW w:w="2652" w:type="dxa"/>
          </w:tcPr>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Start-up costs</w:t>
            </w:r>
          </w:p>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per start (M€/GW)</w:t>
            </w:r>
          </w:p>
        </w:tc>
        <w:tc>
          <w:tcPr>
            <w:tcW w:w="2652" w:type="dxa"/>
          </w:tcPr>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Start-up fuel use</w:t>
            </w:r>
          </w:p>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w:t>
            </w:r>
            <w:proofErr w:type="spellStart"/>
            <w:r w:rsidRPr="00D500F9">
              <w:rPr>
                <w:rFonts w:ascii="Times New Roman" w:hAnsi="Times New Roman" w:cs="Times New Roman"/>
                <w:b w:val="0"/>
                <w:sz w:val="20"/>
                <w:szCs w:val="20"/>
                <w:lang w:val="en-GB"/>
              </w:rPr>
              <w:t>Mtoe</w:t>
            </w:r>
            <w:proofErr w:type="spellEnd"/>
            <w:r w:rsidRPr="00D500F9">
              <w:rPr>
                <w:rFonts w:ascii="Times New Roman" w:hAnsi="Times New Roman" w:cs="Times New Roman"/>
                <w:b w:val="0"/>
                <w:sz w:val="20"/>
                <w:szCs w:val="20"/>
                <w:lang w:val="en-GB"/>
              </w:rPr>
              <w:t>/GW)</w:t>
            </w:r>
          </w:p>
        </w:tc>
      </w:tr>
      <w:tr w:rsidR="00EA0538" w:rsidRPr="00D500F9"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Gas power</w:t>
            </w:r>
          </w:p>
        </w:tc>
        <w:tc>
          <w:tcPr>
            <w:tcW w:w="2651"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90/180</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0.0111</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0.0003</w:t>
            </w:r>
          </w:p>
        </w:tc>
      </w:tr>
      <w:tr w:rsidR="00EA0538" w:rsidRPr="00D500F9" w:rsidTr="005F3031">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Coal power</w:t>
            </w:r>
          </w:p>
        </w:tc>
        <w:tc>
          <w:tcPr>
            <w:tcW w:w="2651"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26</w:t>
            </w:r>
          </w:p>
        </w:tc>
        <w:tc>
          <w:tcPr>
            <w:tcW w:w="2652"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0.0053</w:t>
            </w:r>
          </w:p>
        </w:tc>
        <w:tc>
          <w:tcPr>
            <w:tcW w:w="2652"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0.0005</w:t>
            </w:r>
          </w:p>
        </w:tc>
      </w:tr>
      <w:tr w:rsidR="00EA0538" w:rsidRPr="00D500F9"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Lignite power</w:t>
            </w:r>
          </w:p>
        </w:tc>
        <w:tc>
          <w:tcPr>
            <w:tcW w:w="2651"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26</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0.0033</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0.0005</w:t>
            </w:r>
          </w:p>
        </w:tc>
      </w:tr>
      <w:tr w:rsidR="00EA0538" w:rsidRPr="00D500F9" w:rsidTr="005F3031">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Oil power</w:t>
            </w:r>
          </w:p>
        </w:tc>
        <w:tc>
          <w:tcPr>
            <w:tcW w:w="2651"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90</w:t>
            </w:r>
          </w:p>
        </w:tc>
        <w:tc>
          <w:tcPr>
            <w:tcW w:w="2652"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0.0824</w:t>
            </w:r>
          </w:p>
        </w:tc>
        <w:tc>
          <w:tcPr>
            <w:tcW w:w="2652"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0.0005</w:t>
            </w:r>
          </w:p>
        </w:tc>
      </w:tr>
      <w:tr w:rsidR="00EA0538" w:rsidRPr="00D500F9"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Bio power</w:t>
            </w:r>
          </w:p>
        </w:tc>
        <w:tc>
          <w:tcPr>
            <w:tcW w:w="2651"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26</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0.0097</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0.0005</w:t>
            </w:r>
          </w:p>
        </w:tc>
      </w:tr>
      <w:tr w:rsidR="00EA0538" w:rsidRPr="00D500F9" w:rsidTr="005F3031">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Waste power</w:t>
            </w:r>
          </w:p>
        </w:tc>
        <w:tc>
          <w:tcPr>
            <w:tcW w:w="2651"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26</w:t>
            </w:r>
          </w:p>
        </w:tc>
        <w:tc>
          <w:tcPr>
            <w:tcW w:w="2652"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0.0346</w:t>
            </w:r>
          </w:p>
        </w:tc>
        <w:tc>
          <w:tcPr>
            <w:tcW w:w="2652"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0.0005</w:t>
            </w:r>
          </w:p>
        </w:tc>
      </w:tr>
      <w:tr w:rsidR="00EA0538" w:rsidRPr="00D500F9"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Nuclear</w:t>
            </w:r>
          </w:p>
        </w:tc>
        <w:tc>
          <w:tcPr>
            <w:tcW w:w="2651"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12</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0.0019</w:t>
            </w:r>
          </w:p>
        </w:tc>
        <w:tc>
          <w:tcPr>
            <w:tcW w:w="2652"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0.0014</w:t>
            </w:r>
          </w:p>
        </w:tc>
      </w:tr>
    </w:tbl>
    <w:p w:rsidR="00EA0538" w:rsidRPr="00527896" w:rsidRDefault="00EA0538" w:rsidP="00EA0538">
      <w:pPr>
        <w:rPr>
          <w:rFonts w:ascii="Times New Roman" w:hAnsi="Times New Roman" w:cs="Times New Roman"/>
          <w:i/>
          <w:sz w:val="20"/>
          <w:szCs w:val="20"/>
          <w:lang w:val="en-GB"/>
        </w:rPr>
      </w:pPr>
      <w:r w:rsidRPr="00527896">
        <w:rPr>
          <w:rFonts w:ascii="Times New Roman" w:hAnsi="Times New Roman" w:cs="Times New Roman"/>
          <w:i/>
          <w:sz w:val="20"/>
          <w:szCs w:val="20"/>
          <w:lang w:val="en-GB"/>
        </w:rPr>
        <w:t>Source: DENA (2005) and own assumptions.</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lastRenderedPageBreak/>
        <w:t xml:space="preserve">Table </w:t>
      </w:r>
      <w:r>
        <w:rPr>
          <w:rFonts w:ascii="Times New Roman" w:hAnsi="Times New Roman" w:cs="Times New Roman"/>
          <w:lang w:val="en-GB"/>
        </w:rPr>
        <w:t>6</w:t>
      </w:r>
      <w:r w:rsidRPr="00085FA6">
        <w:rPr>
          <w:rFonts w:ascii="Times New Roman" w:hAnsi="Times New Roman" w:cs="Times New Roman"/>
          <w:lang w:val="en-GB"/>
        </w:rPr>
        <w:t xml:space="preserve"> shows the start-up costs for each technology. For our two seasons we have assumed a specific number of start-ups for each technology. For gas this differs between old and new gas power due to the increased flexibility now available from new plants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Siemens 2010). According to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the differences in specific start-up costs across technologies are small. For biomass and waste power we have therefore made assumptions based on the costs for coal power as there are no available sources. For reservoir hydro, run-of-river and pumped storage, wind power, solar power and other renewables the start-up costs are naturally set to zero.</w:t>
      </w:r>
    </w:p>
    <w:p w:rsidR="00EA0538" w:rsidRPr="00085FA6" w:rsidRDefault="00EA0538" w:rsidP="00EA0538">
      <w:pPr>
        <w:pStyle w:val="Heading3"/>
        <w:jc w:val="both"/>
        <w:rPr>
          <w:rFonts w:ascii="Times New Roman" w:hAnsi="Times New Roman" w:cs="Times New Roman"/>
          <w:lang w:val="en-GB"/>
        </w:rPr>
      </w:pPr>
      <w:r w:rsidRPr="00085FA6">
        <w:rPr>
          <w:rFonts w:ascii="Times New Roman" w:hAnsi="Times New Roman" w:cs="Times New Roman"/>
          <w:lang w:val="en-GB"/>
        </w:rPr>
        <w:br/>
      </w:r>
      <w:bookmarkStart w:id="19" w:name="_Toc386631732"/>
      <w:r w:rsidRPr="00085FA6">
        <w:rPr>
          <w:rFonts w:ascii="Times New Roman" w:hAnsi="Times New Roman" w:cs="Times New Roman"/>
          <w:lang w:val="en-GB"/>
        </w:rPr>
        <w:t>3.3.5 Availability factors</w:t>
      </w:r>
      <w:bookmarkEnd w:id="19"/>
      <w:r w:rsidRPr="00085FA6">
        <w:rPr>
          <w:rFonts w:ascii="Times New Roman" w:hAnsi="Times New Roman" w:cs="Times New Roman"/>
          <w:lang w:val="en-GB"/>
        </w:rPr>
        <w:t xml:space="preserve">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All electricity plants require some downtime for maintenance and upgrading. This is reflected in the model through restricting total annual production to a fraction of installed capacity (for each country and technology). This restriction should only reflect technical requirements, because the model endogenously determines the economically optimal downtime. Unfortunately we have no clear data on the technically required downtime, as all cost calculations available use some notion of expected downtime for both economic and technical reasons.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provides a compilation of availability rates by technology from different sources.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Nuclear plants are typically operated for base load in most countries, so we have assumed that the actual usage reflects the technological requirements. Hence, for nuclear we have calibrated the availability coefficients as the ratio of actual use to capacity (in the base year). Some countries have either very low or very high actual usage in the base year. Because this could be due to maintenance schedules in 2009, we have restricted the downtime to the interval 0.90 to 0.95. For the fossil fuel technologies and biomass, the availability factor has been set to 0.95.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A related question is the need for balancing power in the case of large unforeseen changes in demand or the failure to supply, which otherwise may force a shutdown or even destroy parts of the electricity system. The size of this pure uncertainty would, in a fully stochastic model, be formulated as the willingness to pay for avoiding power outages; that is, we would derive an endogenous demand for power supply backup. In our non-stochastic model, a system operator buys a fixed share of 5 % of the available (maintained) capacity from the non-intermittent power sources as reserve capacity in each period and country. If there is excess capacity that exceeds this level, the price of reserve capacity is zero. </w:t>
      </w:r>
    </w:p>
    <w:p w:rsidR="00EA0538" w:rsidRPr="00085FA6" w:rsidRDefault="00EA0538" w:rsidP="00EA0538">
      <w:pPr>
        <w:pStyle w:val="Heading2"/>
        <w:jc w:val="both"/>
        <w:rPr>
          <w:rFonts w:ascii="Times New Roman" w:hAnsi="Times New Roman" w:cs="Times New Roman"/>
          <w:lang w:val="en-GB"/>
        </w:rPr>
      </w:pPr>
      <w:r>
        <w:rPr>
          <w:rFonts w:ascii="Times New Roman" w:hAnsi="Times New Roman" w:cs="Times New Roman"/>
          <w:lang w:val="en-GB"/>
        </w:rPr>
        <w:br/>
      </w:r>
      <w:bookmarkStart w:id="20" w:name="_Toc386631733"/>
      <w:r w:rsidRPr="00085FA6">
        <w:rPr>
          <w:rFonts w:ascii="Times New Roman" w:hAnsi="Times New Roman" w:cs="Times New Roman"/>
          <w:lang w:val="en-GB"/>
        </w:rPr>
        <w:t>3.4 New electricity technologies</w:t>
      </w:r>
      <w:bookmarkEnd w:id="20"/>
    </w:p>
    <w:p w:rsidR="00EA0538" w:rsidRDefault="00EA0538" w:rsidP="00EA0538">
      <w:pPr>
        <w:jc w:val="both"/>
        <w:rPr>
          <w:rFonts w:ascii="Times New Roman" w:hAnsi="Times New Roman" w:cs="Times New Roman"/>
          <w:lang w:val="en-GB"/>
        </w:rPr>
      </w:pPr>
      <w:r>
        <w:rPr>
          <w:rFonts w:ascii="Times New Roman" w:hAnsi="Times New Roman" w:cs="Times New Roman"/>
          <w:lang w:val="en-GB"/>
        </w:rPr>
        <w:t>In the long-run model investments in new power plant capacity is possible apart from in lignite and waste power plants. Nuclear power investments can be endogenous or exogenous depending on the scenario.</w:t>
      </w:r>
      <w:r w:rsidRPr="00EA0538">
        <w:rPr>
          <w:rStyle w:val="FootnoteReference"/>
          <w:rFonts w:ascii="Times New Roman" w:hAnsi="Times New Roman" w:cs="Times New Roman"/>
          <w:lang w:val="en-GB"/>
        </w:rPr>
        <w:t xml:space="preserve"> </w:t>
      </w:r>
      <w:r w:rsidRPr="00085FA6">
        <w:rPr>
          <w:rStyle w:val="FootnoteReference"/>
          <w:rFonts w:ascii="Times New Roman" w:hAnsi="Times New Roman" w:cs="Times New Roman"/>
          <w:lang w:val="en-GB"/>
        </w:rPr>
        <w:footnoteReference w:id="23"/>
      </w:r>
      <w:r>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For gas power, steam coal power, oil power and nuclear power </w:t>
      </w:r>
      <w:r>
        <w:rPr>
          <w:rFonts w:ascii="Times New Roman" w:hAnsi="Times New Roman" w:cs="Times New Roman"/>
          <w:lang w:val="en-GB"/>
        </w:rPr>
        <w:t>it is</w:t>
      </w:r>
      <w:r w:rsidRPr="00085FA6">
        <w:rPr>
          <w:rFonts w:ascii="Times New Roman" w:hAnsi="Times New Roman" w:cs="Times New Roman"/>
          <w:lang w:val="en-GB"/>
        </w:rPr>
        <w:t xml:space="preserve"> assume</w:t>
      </w:r>
      <w:r>
        <w:rPr>
          <w:rFonts w:ascii="Times New Roman" w:hAnsi="Times New Roman" w:cs="Times New Roman"/>
          <w:lang w:val="en-GB"/>
        </w:rPr>
        <w:t>d</w:t>
      </w:r>
      <w:r w:rsidRPr="00085FA6">
        <w:rPr>
          <w:rFonts w:ascii="Times New Roman" w:hAnsi="Times New Roman" w:cs="Times New Roman"/>
          <w:lang w:val="en-GB"/>
        </w:rPr>
        <w:t xml:space="preserve"> that all agents are in a position to invest in the most efficient technology (in the long-run model). </w:t>
      </w:r>
      <w:r w:rsidRPr="00085FA6">
        <w:rPr>
          <w:rFonts w:ascii="Times New Roman" w:hAnsi="Times New Roman" w:cs="Times New Roman"/>
          <w:lang w:val="en-US"/>
        </w:rPr>
        <w:t>The main source for efficiencies and investment costs for new power plants is</w:t>
      </w:r>
      <w:r w:rsidRPr="00085FA6">
        <w:rPr>
          <w:rFonts w:ascii="Times New Roman" w:hAnsi="Times New Roman" w:cs="Times New Roman"/>
          <w:lang w:val="en-GB"/>
        </w:rPr>
        <w:t xml:space="preserve"> “Projected Costs of Generating Electricity, Update 2010” from the OECD (2010). All estimates from this publication are for plants coming online in 2015.</w:t>
      </w:r>
    </w:p>
    <w:p w:rsidR="00EA0538" w:rsidRDefault="00EA0538" w:rsidP="00EA0538">
      <w:pPr>
        <w:jc w:val="both"/>
        <w:rPr>
          <w:rFonts w:ascii="Times New Roman" w:hAnsi="Times New Roman" w:cs="Times New Roman"/>
          <w:lang w:val="en-GB"/>
        </w:rPr>
      </w:pPr>
    </w:p>
    <w:p w:rsidR="00EA0538" w:rsidRPr="00085FA6" w:rsidRDefault="00EA0538" w:rsidP="00EA0538">
      <w:pPr>
        <w:pStyle w:val="Heading3"/>
        <w:jc w:val="both"/>
        <w:rPr>
          <w:rFonts w:ascii="Times New Roman" w:hAnsi="Times New Roman" w:cs="Times New Roman"/>
          <w:lang w:val="en-US"/>
        </w:rPr>
      </w:pPr>
      <w:bookmarkStart w:id="21" w:name="_Toc386631734"/>
      <w:r w:rsidRPr="00085FA6">
        <w:rPr>
          <w:rFonts w:ascii="Times New Roman" w:hAnsi="Times New Roman" w:cs="Times New Roman"/>
          <w:lang w:val="en-US"/>
        </w:rPr>
        <w:t>3.4</w:t>
      </w:r>
      <w:r>
        <w:rPr>
          <w:rFonts w:ascii="Times New Roman" w:hAnsi="Times New Roman" w:cs="Times New Roman"/>
          <w:lang w:val="en-US"/>
        </w:rPr>
        <w:t>.1</w:t>
      </w:r>
      <w:r w:rsidRPr="00085FA6">
        <w:rPr>
          <w:rFonts w:ascii="Times New Roman" w:hAnsi="Times New Roman" w:cs="Times New Roman"/>
          <w:lang w:val="en-US"/>
        </w:rPr>
        <w:t xml:space="preserve"> New power plants</w:t>
      </w:r>
      <w:bookmarkEnd w:id="21"/>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OECD (2010) provides a range of estimates for investment costs for different types of coal-fired plants from different countries. </w:t>
      </w:r>
      <w:r>
        <w:rPr>
          <w:rFonts w:ascii="Times New Roman" w:hAnsi="Times New Roman" w:cs="Times New Roman"/>
          <w:lang w:val="en-GB"/>
        </w:rPr>
        <w:t>The model</w:t>
      </w:r>
      <w:r w:rsidRPr="00085FA6">
        <w:rPr>
          <w:rFonts w:ascii="Times New Roman" w:hAnsi="Times New Roman" w:cs="Times New Roman"/>
          <w:lang w:val="en-GB"/>
        </w:rPr>
        <w:t xml:space="preserve"> distinguish</w:t>
      </w:r>
      <w:r>
        <w:rPr>
          <w:rFonts w:ascii="Times New Roman" w:hAnsi="Times New Roman" w:cs="Times New Roman"/>
          <w:lang w:val="en-GB"/>
        </w:rPr>
        <w:t>es between steam coal</w:t>
      </w:r>
      <w:r w:rsidRPr="00085FA6">
        <w:rPr>
          <w:rFonts w:ascii="Times New Roman" w:hAnsi="Times New Roman" w:cs="Times New Roman"/>
          <w:lang w:val="en-GB"/>
        </w:rPr>
        <w:t xml:space="preserve"> and lignite power</w:t>
      </w:r>
      <w:r>
        <w:rPr>
          <w:rFonts w:ascii="Times New Roman" w:hAnsi="Times New Roman" w:cs="Times New Roman"/>
          <w:lang w:val="en-GB"/>
        </w:rPr>
        <w:t xml:space="preserve"> </w:t>
      </w:r>
      <w:proofErr w:type="gramStart"/>
      <w:r>
        <w:rPr>
          <w:rFonts w:ascii="Times New Roman" w:hAnsi="Times New Roman" w:cs="Times New Roman"/>
          <w:lang w:val="en-GB"/>
        </w:rPr>
        <w:t>plants</w:t>
      </w:r>
      <w:r w:rsidRPr="00085FA6">
        <w:rPr>
          <w:rFonts w:ascii="Times New Roman" w:hAnsi="Times New Roman" w:cs="Times New Roman"/>
          <w:lang w:val="en-GB"/>
        </w:rPr>
        <w:t>,</w:t>
      </w:r>
      <w:proofErr w:type="gramEnd"/>
      <w:r w:rsidRPr="00085FA6">
        <w:rPr>
          <w:rFonts w:ascii="Times New Roman" w:hAnsi="Times New Roman" w:cs="Times New Roman"/>
          <w:lang w:val="en-GB"/>
        </w:rPr>
        <w:t xml:space="preserve"> however it is </w:t>
      </w:r>
      <w:r>
        <w:rPr>
          <w:rFonts w:ascii="Times New Roman" w:hAnsi="Times New Roman" w:cs="Times New Roman"/>
          <w:lang w:val="en-GB"/>
        </w:rPr>
        <w:t>only</w:t>
      </w:r>
      <w:r w:rsidRPr="00085FA6">
        <w:rPr>
          <w:rFonts w:ascii="Times New Roman" w:hAnsi="Times New Roman" w:cs="Times New Roman"/>
          <w:lang w:val="en-GB"/>
        </w:rPr>
        <w:t xml:space="preserve"> possible to invest in new </w:t>
      </w:r>
      <w:r>
        <w:rPr>
          <w:rFonts w:ascii="Times New Roman" w:hAnsi="Times New Roman" w:cs="Times New Roman"/>
          <w:lang w:val="en-GB"/>
        </w:rPr>
        <w:t>steam coal</w:t>
      </w:r>
      <w:r w:rsidRPr="00085FA6">
        <w:rPr>
          <w:rFonts w:ascii="Times New Roman" w:hAnsi="Times New Roman" w:cs="Times New Roman"/>
          <w:lang w:val="en-GB"/>
        </w:rPr>
        <w:t xml:space="preserve"> plants. </w:t>
      </w:r>
      <w:r>
        <w:rPr>
          <w:rFonts w:ascii="Times New Roman" w:hAnsi="Times New Roman" w:cs="Times New Roman"/>
          <w:lang w:val="en-GB"/>
        </w:rPr>
        <w:t>The</w:t>
      </w:r>
      <w:r w:rsidRPr="00085FA6">
        <w:rPr>
          <w:rFonts w:ascii="Times New Roman" w:hAnsi="Times New Roman" w:cs="Times New Roman"/>
          <w:lang w:val="en-GB"/>
        </w:rPr>
        <w:t xml:space="preserve"> cost data for an ultra-super critical (USC) pulverised coal plant is used. </w:t>
      </w:r>
      <w:r>
        <w:rPr>
          <w:rFonts w:ascii="Times New Roman" w:hAnsi="Times New Roman" w:cs="Times New Roman"/>
          <w:lang w:val="en-GB"/>
        </w:rPr>
        <w:t>The OECD estimate is</w:t>
      </w:r>
      <w:r w:rsidRPr="00085FA6">
        <w:rPr>
          <w:rFonts w:ascii="Times New Roman" w:hAnsi="Times New Roman" w:cs="Times New Roman"/>
          <w:lang w:val="en-GB"/>
        </w:rPr>
        <w:t xml:space="preserve"> 1737 €/kW</w:t>
      </w:r>
      <w:r w:rsidRPr="00085FA6">
        <w:rPr>
          <w:rStyle w:val="FootnoteReference"/>
          <w:rFonts w:ascii="Times New Roman" w:hAnsi="Times New Roman" w:cs="Times New Roman"/>
          <w:lang w:val="en-GB"/>
        </w:rPr>
        <w:footnoteReference w:id="24"/>
      </w:r>
      <w:r w:rsidRPr="00085FA6">
        <w:rPr>
          <w:rFonts w:ascii="Times New Roman" w:hAnsi="Times New Roman" w:cs="Times New Roman"/>
          <w:lang w:val="en-GB"/>
        </w:rPr>
        <w:t xml:space="preserve"> (data from the Netherlands). According to “Power Generation from Coal” (OECD/IEA 2011), the super-critical (SC) technology is currently the standard for new plants in industrialised countries. Despite emerging types of coal power plants like integrated gasification combined cycle (IGCC) and circulating flue gas desulphurisation (CFGD), in the choice between coal </w:t>
      </w:r>
      <w:proofErr w:type="gramStart"/>
      <w:r w:rsidRPr="00085FA6">
        <w:rPr>
          <w:rFonts w:ascii="Times New Roman" w:hAnsi="Times New Roman" w:cs="Times New Roman"/>
          <w:lang w:val="en-GB"/>
        </w:rPr>
        <w:t>plant</w:t>
      </w:r>
      <w:proofErr w:type="gramEnd"/>
      <w:r w:rsidRPr="00085FA6">
        <w:rPr>
          <w:rFonts w:ascii="Times New Roman" w:hAnsi="Times New Roman" w:cs="Times New Roman"/>
          <w:lang w:val="en-GB"/>
        </w:rPr>
        <w:t xml:space="preserve"> alternatives the super critical and ultra-super critical pulverised coal plants continue to dominate the new orders.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lastRenderedPageBreak/>
        <w:t>For natural gas the majority of the estimates from OECD (2010)</w:t>
      </w:r>
      <w:r>
        <w:rPr>
          <w:rFonts w:ascii="Times New Roman" w:hAnsi="Times New Roman" w:cs="Times New Roman"/>
          <w:lang w:val="en-GB"/>
        </w:rPr>
        <w:t xml:space="preserve"> are for </w:t>
      </w:r>
      <w:r w:rsidRPr="00085FA6">
        <w:rPr>
          <w:rFonts w:ascii="Times New Roman" w:hAnsi="Times New Roman" w:cs="Times New Roman"/>
          <w:lang w:val="en-GB"/>
        </w:rPr>
        <w:t>combined cycle gas turbine (CCGT) plant</w:t>
      </w:r>
      <w:r>
        <w:rPr>
          <w:rFonts w:ascii="Times New Roman" w:hAnsi="Times New Roman" w:cs="Times New Roman"/>
          <w:lang w:val="en-GB"/>
        </w:rPr>
        <w:t>s</w:t>
      </w:r>
      <w:r w:rsidRPr="00085FA6">
        <w:rPr>
          <w:rFonts w:ascii="Times New Roman" w:hAnsi="Times New Roman" w:cs="Times New Roman"/>
          <w:lang w:val="en-GB"/>
        </w:rPr>
        <w:t>. The estimates differ bet</w:t>
      </w:r>
      <w:r>
        <w:rPr>
          <w:rFonts w:ascii="Times New Roman" w:hAnsi="Times New Roman" w:cs="Times New Roman"/>
          <w:lang w:val="en-GB"/>
        </w:rPr>
        <w:t>ween the reporting countries. In the model</w:t>
      </w:r>
      <w:r w:rsidRPr="00085FA6">
        <w:rPr>
          <w:rFonts w:ascii="Times New Roman" w:hAnsi="Times New Roman" w:cs="Times New Roman"/>
          <w:lang w:val="en-GB"/>
        </w:rPr>
        <w:t xml:space="preserve"> the cost estimate from Belgium (957 €/kW)</w:t>
      </w:r>
      <w:r>
        <w:rPr>
          <w:rFonts w:ascii="Times New Roman" w:hAnsi="Times New Roman" w:cs="Times New Roman"/>
          <w:lang w:val="en-GB"/>
        </w:rPr>
        <w:t xml:space="preserve"> has been used</w:t>
      </w:r>
      <w:r w:rsidRPr="00085FA6">
        <w:rPr>
          <w:rFonts w:ascii="Times New Roman" w:hAnsi="Times New Roman" w:cs="Times New Roman"/>
          <w:lang w:val="en-GB"/>
        </w:rPr>
        <w:t xml:space="preserve">, which is very close to the average of all the CCGT-estimates in the publication. </w:t>
      </w:r>
    </w:p>
    <w:p w:rsidR="00EA0538" w:rsidRDefault="00EA0538" w:rsidP="00EA0538">
      <w:pPr>
        <w:jc w:val="both"/>
        <w:rPr>
          <w:rFonts w:ascii="Times New Roman" w:hAnsi="Times New Roman" w:cs="Times New Roman"/>
          <w:lang w:val="en-GB"/>
        </w:rPr>
      </w:pPr>
      <w:r>
        <w:rPr>
          <w:rFonts w:ascii="Times New Roman" w:hAnsi="Times New Roman" w:cs="Times New Roman"/>
          <w:lang w:val="en-US"/>
        </w:rPr>
        <w:t>When investment in</w:t>
      </w:r>
      <w:r w:rsidRPr="00085FA6">
        <w:rPr>
          <w:rFonts w:ascii="Times New Roman" w:hAnsi="Times New Roman" w:cs="Times New Roman"/>
          <w:lang w:val="en-US"/>
        </w:rPr>
        <w:t xml:space="preserve"> nuclear plants </w:t>
      </w:r>
      <w:r>
        <w:rPr>
          <w:rFonts w:ascii="Times New Roman" w:hAnsi="Times New Roman" w:cs="Times New Roman"/>
          <w:lang w:val="en-US"/>
        </w:rPr>
        <w:t xml:space="preserve">is allowed, </w:t>
      </w:r>
      <w:r w:rsidRPr="00085FA6">
        <w:rPr>
          <w:rFonts w:ascii="Times New Roman" w:hAnsi="Times New Roman" w:cs="Times New Roman"/>
          <w:lang w:val="en-US"/>
        </w:rPr>
        <w:t xml:space="preserve">OECD (2010) </w:t>
      </w:r>
      <w:r>
        <w:rPr>
          <w:rFonts w:ascii="Times New Roman" w:hAnsi="Times New Roman" w:cs="Times New Roman"/>
          <w:lang w:val="en-US"/>
        </w:rPr>
        <w:t xml:space="preserve">has been used </w:t>
      </w:r>
      <w:r w:rsidRPr="00085FA6">
        <w:rPr>
          <w:rFonts w:ascii="Times New Roman" w:hAnsi="Times New Roman" w:cs="Times New Roman"/>
          <w:lang w:val="en-US"/>
        </w:rPr>
        <w:t xml:space="preserve">as the </w:t>
      </w:r>
      <w:r w:rsidRPr="00085FA6">
        <w:rPr>
          <w:rFonts w:ascii="Times New Roman" w:hAnsi="Times New Roman" w:cs="Times New Roman"/>
          <w:lang w:val="en-GB"/>
        </w:rPr>
        <w:t xml:space="preserve">source for investment costs and efficiencies. The publication provides cost estimates for several different types of reactors; European pressurised reactor (EPR), pressurised water reactor (PWR) and VVER, which is the Russian version of the PWR. </w:t>
      </w:r>
      <w:r>
        <w:rPr>
          <w:rFonts w:ascii="Times New Roman" w:hAnsi="Times New Roman" w:cs="Times New Roman"/>
          <w:lang w:val="en-GB"/>
        </w:rPr>
        <w:t>An</w:t>
      </w:r>
      <w:r w:rsidRPr="00085FA6">
        <w:rPr>
          <w:rFonts w:ascii="Times New Roman" w:hAnsi="Times New Roman" w:cs="Times New Roman"/>
          <w:lang w:val="en-GB"/>
        </w:rPr>
        <w:t xml:space="preserve"> EPR plant at the lower end of the range; 3228 €/kW</w:t>
      </w:r>
      <w:r>
        <w:rPr>
          <w:rFonts w:ascii="Times New Roman" w:hAnsi="Times New Roman" w:cs="Times New Roman"/>
          <w:lang w:val="en-GB"/>
        </w:rPr>
        <w:t>, has been used</w:t>
      </w:r>
      <w:r w:rsidRPr="00085FA6">
        <w:rPr>
          <w:rFonts w:ascii="Times New Roman" w:hAnsi="Times New Roman" w:cs="Times New Roman"/>
          <w:lang w:val="en-GB"/>
        </w:rPr>
        <w:t>.</w:t>
      </w:r>
      <w:r w:rsidRPr="00085FA6">
        <w:rPr>
          <w:rStyle w:val="FootnoteReference"/>
          <w:rFonts w:ascii="Times New Roman" w:hAnsi="Times New Roman" w:cs="Times New Roman"/>
          <w:lang w:val="en-GB"/>
        </w:rPr>
        <w:footnoteReference w:id="25"/>
      </w:r>
      <w:r w:rsidRPr="00085FA6">
        <w:rPr>
          <w:rFonts w:ascii="Times New Roman" w:hAnsi="Times New Roman" w:cs="Times New Roman"/>
          <w:lang w:val="en-GB"/>
        </w:rPr>
        <w:t xml:space="preserve">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There are generally few cost estimates for new oil-fired power plants (</w:t>
      </w:r>
      <w:proofErr w:type="spellStart"/>
      <w:r w:rsidRPr="00085FA6">
        <w:rPr>
          <w:rFonts w:ascii="Times New Roman" w:hAnsi="Times New Roman" w:cs="Times New Roman"/>
          <w:lang w:val="en-GB"/>
        </w:rPr>
        <w:t>Tyma</w:t>
      </w:r>
      <w:proofErr w:type="spellEnd"/>
      <w:r w:rsidRPr="00085FA6">
        <w:rPr>
          <w:rFonts w:ascii="Times New Roman" w:hAnsi="Times New Roman" w:cs="Times New Roman"/>
          <w:lang w:val="en-GB"/>
        </w:rPr>
        <w:t xml:space="preserve"> 2010 and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After assessing the available sources an investment cost of 1411 €/kW</w:t>
      </w:r>
      <w:r>
        <w:rPr>
          <w:rFonts w:ascii="Times New Roman" w:hAnsi="Times New Roman" w:cs="Times New Roman"/>
          <w:lang w:val="en-GB"/>
        </w:rPr>
        <w:t xml:space="preserve"> is assumed</w:t>
      </w:r>
      <w:r w:rsidRPr="00085FA6">
        <w:rPr>
          <w:rFonts w:ascii="Times New Roman" w:hAnsi="Times New Roman" w:cs="Times New Roman"/>
          <w:lang w:val="en-GB"/>
        </w:rPr>
        <w:t>.</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The investment cost for</w:t>
      </w:r>
      <w:r>
        <w:rPr>
          <w:rFonts w:ascii="Times New Roman" w:hAnsi="Times New Roman" w:cs="Times New Roman"/>
          <w:lang w:val="en-GB"/>
        </w:rPr>
        <w:t xml:space="preserve"> </w:t>
      </w:r>
      <w:r w:rsidRPr="00085FA6">
        <w:rPr>
          <w:rFonts w:ascii="Times New Roman" w:hAnsi="Times New Roman" w:cs="Times New Roman"/>
          <w:lang w:val="en-GB"/>
        </w:rPr>
        <w:t>new wind power plant</w:t>
      </w:r>
      <w:r>
        <w:rPr>
          <w:rFonts w:ascii="Times New Roman" w:hAnsi="Times New Roman" w:cs="Times New Roman"/>
          <w:lang w:val="en-GB"/>
        </w:rPr>
        <w:t>s wa</w:t>
      </w:r>
      <w:r w:rsidRPr="00085FA6">
        <w:rPr>
          <w:rFonts w:ascii="Times New Roman" w:hAnsi="Times New Roman" w:cs="Times New Roman"/>
          <w:lang w:val="en-GB"/>
        </w:rPr>
        <w:t>s based on an assessment of various sources (IRENA 2012,</w:t>
      </w:r>
      <w:r w:rsidRPr="00085FA6">
        <w:rPr>
          <w:rStyle w:val="FootnoteReference"/>
          <w:rFonts w:ascii="Times New Roman" w:hAnsi="Times New Roman" w:cs="Times New Roman"/>
          <w:lang w:val="en-GB"/>
        </w:rPr>
        <w:footnoteReference w:id="26"/>
      </w:r>
      <w:r w:rsidRPr="00085FA6">
        <w:rPr>
          <w:rFonts w:ascii="Times New Roman" w:hAnsi="Times New Roman" w:cs="Times New Roman"/>
          <w:lang w:val="en-GB"/>
        </w:rPr>
        <w:t xml:space="preserve"> IPCC, OECD 2010</w:t>
      </w:r>
      <w:r w:rsidRPr="00903474">
        <w:rPr>
          <w:rFonts w:ascii="Times New Roman" w:hAnsi="Times New Roman" w:cs="Times New Roman"/>
          <w:lang w:val="en-GB"/>
        </w:rPr>
        <w:t xml:space="preserve"> </w:t>
      </w:r>
      <w:r>
        <w:rPr>
          <w:rFonts w:ascii="Times New Roman" w:hAnsi="Times New Roman" w:cs="Times New Roman"/>
          <w:lang w:val="en-GB"/>
        </w:rPr>
        <w:t xml:space="preserve">Mott MacDonald 2010, NREL </w:t>
      </w:r>
      <w:r w:rsidRPr="00085FA6">
        <w:rPr>
          <w:rFonts w:ascii="Times New Roman" w:hAnsi="Times New Roman" w:cs="Times New Roman"/>
          <w:lang w:val="en-GB"/>
        </w:rPr>
        <w:t>2012</w:t>
      </w:r>
      <w:r>
        <w:rPr>
          <w:rFonts w:ascii="Times New Roman" w:hAnsi="Times New Roman" w:cs="Times New Roman"/>
          <w:lang w:val="en-GB"/>
        </w:rPr>
        <w:t xml:space="preserve"> and NVE 2011</w:t>
      </w:r>
      <w:r w:rsidRPr="00085FA6">
        <w:rPr>
          <w:rFonts w:ascii="Times New Roman" w:hAnsi="Times New Roman" w:cs="Times New Roman"/>
          <w:lang w:val="en-GB"/>
        </w:rPr>
        <w:t xml:space="preserve">). </w:t>
      </w:r>
      <w:r>
        <w:rPr>
          <w:rFonts w:ascii="Times New Roman" w:hAnsi="Times New Roman" w:cs="Times New Roman"/>
          <w:lang w:val="en-GB"/>
        </w:rPr>
        <w:t>O</w:t>
      </w:r>
      <w:r w:rsidRPr="00085FA6">
        <w:rPr>
          <w:rFonts w:ascii="Times New Roman" w:hAnsi="Times New Roman" w:cs="Times New Roman"/>
          <w:lang w:val="en-GB"/>
        </w:rPr>
        <w:t xml:space="preserve">ffshore wind power potential is not included in the model. The cost estimates </w:t>
      </w:r>
      <w:r>
        <w:rPr>
          <w:rFonts w:ascii="Times New Roman" w:hAnsi="Times New Roman" w:cs="Times New Roman"/>
          <w:lang w:val="en-GB"/>
        </w:rPr>
        <w:t xml:space="preserve">for onshore wind </w:t>
      </w:r>
      <w:r w:rsidRPr="00085FA6">
        <w:rPr>
          <w:rFonts w:ascii="Times New Roman" w:hAnsi="Times New Roman" w:cs="Times New Roman"/>
          <w:lang w:val="en-GB"/>
        </w:rPr>
        <w:t xml:space="preserve">in </w:t>
      </w:r>
      <w:r>
        <w:rPr>
          <w:rFonts w:ascii="Times New Roman" w:hAnsi="Times New Roman" w:cs="Times New Roman"/>
          <w:lang w:val="en-GB"/>
        </w:rPr>
        <w:t>OECD</w:t>
      </w:r>
      <w:r w:rsidRPr="00085FA6">
        <w:rPr>
          <w:rFonts w:ascii="Times New Roman" w:hAnsi="Times New Roman" w:cs="Times New Roman"/>
          <w:lang w:val="en-GB"/>
        </w:rPr>
        <w:t xml:space="preserve"> </w:t>
      </w:r>
      <w:r>
        <w:rPr>
          <w:rFonts w:ascii="Times New Roman" w:hAnsi="Times New Roman" w:cs="Times New Roman"/>
          <w:lang w:val="en-GB"/>
        </w:rPr>
        <w:t>(</w:t>
      </w:r>
      <w:r w:rsidRPr="00085FA6">
        <w:rPr>
          <w:rFonts w:ascii="Times New Roman" w:hAnsi="Times New Roman" w:cs="Times New Roman"/>
          <w:lang w:val="en-GB"/>
        </w:rPr>
        <w:t>2010</w:t>
      </w:r>
      <w:r>
        <w:rPr>
          <w:rFonts w:ascii="Times New Roman" w:hAnsi="Times New Roman" w:cs="Times New Roman"/>
          <w:lang w:val="en-GB"/>
        </w:rPr>
        <w:t>)</w:t>
      </w:r>
      <w:r w:rsidRPr="00085FA6">
        <w:rPr>
          <w:rFonts w:ascii="Times New Roman" w:hAnsi="Times New Roman" w:cs="Times New Roman"/>
          <w:lang w:val="en-GB"/>
        </w:rPr>
        <w:t xml:space="preserve"> range from 1419 €/kW to 2742 €/kW. </w:t>
      </w:r>
      <w:r>
        <w:rPr>
          <w:rFonts w:ascii="Times New Roman" w:hAnsi="Times New Roman" w:cs="Times New Roman"/>
          <w:lang w:val="en-GB"/>
        </w:rPr>
        <w:t xml:space="preserve"> In the model the investment cost of a</w:t>
      </w:r>
      <w:r w:rsidRPr="00085FA6">
        <w:rPr>
          <w:rFonts w:ascii="Times New Roman" w:hAnsi="Times New Roman" w:cs="Times New Roman"/>
          <w:lang w:val="en-GB"/>
        </w:rPr>
        <w:t xml:space="preserve"> new wind power plant </w:t>
      </w:r>
      <w:r>
        <w:rPr>
          <w:rFonts w:ascii="Times New Roman" w:hAnsi="Times New Roman" w:cs="Times New Roman"/>
          <w:lang w:val="en-GB"/>
        </w:rPr>
        <w:t>is</w:t>
      </w:r>
      <w:r w:rsidRPr="00085FA6">
        <w:rPr>
          <w:rFonts w:ascii="Times New Roman" w:hAnsi="Times New Roman" w:cs="Times New Roman"/>
          <w:lang w:val="en-GB"/>
        </w:rPr>
        <w:t xml:space="preserve"> 2298 €/kW. </w:t>
      </w:r>
      <w:r>
        <w:rPr>
          <w:rFonts w:ascii="Times New Roman" w:hAnsi="Times New Roman" w:cs="Times New Roman"/>
          <w:lang w:val="en-GB"/>
        </w:rPr>
        <w:t xml:space="preserve">It is assumed that the investment cost falls over time at a rate of 1 % per anno towards 2050.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N</w:t>
      </w:r>
      <w:r w:rsidRPr="00085FA6">
        <w:rPr>
          <w:rFonts w:ascii="Times New Roman" w:hAnsi="Times New Roman" w:cs="Times New Roman"/>
          <w:lang w:val="en-GB"/>
        </w:rPr>
        <w:t>umerous sources were reviewed</w:t>
      </w:r>
      <w:r>
        <w:rPr>
          <w:rFonts w:ascii="Times New Roman" w:hAnsi="Times New Roman" w:cs="Times New Roman"/>
          <w:lang w:val="en-GB"/>
        </w:rPr>
        <w:t xml:space="preserve"> for the cost of solar PV</w:t>
      </w:r>
      <w:r w:rsidRPr="00085FA6">
        <w:rPr>
          <w:rFonts w:ascii="Times New Roman" w:hAnsi="Times New Roman" w:cs="Times New Roman"/>
          <w:lang w:val="en-GB"/>
        </w:rPr>
        <w:t xml:space="preserve"> (IEA ETSAP 2011/E11, OECD 2010, IRENA 2012, IEA 2011, </w:t>
      </w:r>
      <w:proofErr w:type="spellStart"/>
      <w:r w:rsidRPr="00085FA6">
        <w:rPr>
          <w:rFonts w:ascii="Times New Roman" w:hAnsi="Times New Roman" w:cs="Times New Roman"/>
          <w:lang w:val="en-GB"/>
        </w:rPr>
        <w:t>Bazilian</w:t>
      </w:r>
      <w:proofErr w:type="spellEnd"/>
      <w:r w:rsidRPr="00085FA6">
        <w:rPr>
          <w:rFonts w:ascii="Times New Roman" w:hAnsi="Times New Roman" w:cs="Times New Roman"/>
          <w:lang w:val="en-GB"/>
        </w:rPr>
        <w:t xml:space="preserve"> et al. 2013,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and IPCC 2011). </w:t>
      </w:r>
      <w:r>
        <w:rPr>
          <w:rFonts w:ascii="Times New Roman" w:hAnsi="Times New Roman" w:cs="Times New Roman"/>
          <w:lang w:val="en-GB"/>
        </w:rPr>
        <w:t xml:space="preserve">An estimate of </w:t>
      </w:r>
      <w:r w:rsidRPr="00085FA6">
        <w:rPr>
          <w:rFonts w:ascii="Times New Roman" w:hAnsi="Times New Roman" w:cs="Times New Roman"/>
          <w:lang w:val="en-GB"/>
        </w:rPr>
        <w:t>2520 €/kW</w:t>
      </w:r>
      <w:r>
        <w:rPr>
          <w:rFonts w:ascii="Times New Roman" w:hAnsi="Times New Roman" w:cs="Times New Roman"/>
          <w:lang w:val="en-GB"/>
        </w:rPr>
        <w:t xml:space="preserve"> is used</w:t>
      </w:r>
      <w:r w:rsidRPr="00085FA6">
        <w:rPr>
          <w:rFonts w:ascii="Times New Roman" w:hAnsi="Times New Roman" w:cs="Times New Roman"/>
          <w:lang w:val="en-GB"/>
        </w:rPr>
        <w:t xml:space="preserve">, which is towards the lower end of the estimates of the sources mentioned. The reason for this is partly that some of the publications are several years old, and that the cost of solar PV installations has been dropping dramatically in recent years. </w:t>
      </w:r>
      <w:proofErr w:type="spellStart"/>
      <w:r w:rsidRPr="00085FA6">
        <w:rPr>
          <w:rFonts w:ascii="Times New Roman" w:hAnsi="Times New Roman" w:cs="Times New Roman"/>
          <w:lang w:val="en-GB"/>
        </w:rPr>
        <w:t>Schröder</w:t>
      </w:r>
      <w:proofErr w:type="spellEnd"/>
      <w:r w:rsidRPr="00085FA6">
        <w:rPr>
          <w:rFonts w:ascii="Times New Roman" w:hAnsi="Times New Roman" w:cs="Times New Roman"/>
          <w:lang w:val="en-GB"/>
        </w:rPr>
        <w:t xml:space="preserve"> et al. (2013) go even lower, using 1560 €/kW after reviewing numerous sources. They base their decision on the dynamics of the solar power market in recent years and argue that this leaves even the lower estimates in the literature outdated. However, because </w:t>
      </w:r>
      <w:r>
        <w:rPr>
          <w:rFonts w:ascii="Times New Roman" w:hAnsi="Times New Roman" w:cs="Times New Roman"/>
          <w:lang w:val="en-GB"/>
        </w:rPr>
        <w:t>the</w:t>
      </w:r>
      <w:r w:rsidRPr="00085FA6">
        <w:rPr>
          <w:rFonts w:ascii="Times New Roman" w:hAnsi="Times New Roman" w:cs="Times New Roman"/>
          <w:lang w:val="en-GB"/>
        </w:rPr>
        <w:t xml:space="preserve"> base year </w:t>
      </w:r>
      <w:r>
        <w:rPr>
          <w:rFonts w:ascii="Times New Roman" w:hAnsi="Times New Roman" w:cs="Times New Roman"/>
          <w:lang w:val="en-GB"/>
        </w:rPr>
        <w:t xml:space="preserve">in the model </w:t>
      </w:r>
      <w:r w:rsidRPr="00085FA6">
        <w:rPr>
          <w:rFonts w:ascii="Times New Roman" w:hAnsi="Times New Roman" w:cs="Times New Roman"/>
          <w:lang w:val="en-GB"/>
        </w:rPr>
        <w:t xml:space="preserve">is 2009 </w:t>
      </w:r>
      <w:r>
        <w:rPr>
          <w:rFonts w:ascii="Times New Roman" w:hAnsi="Times New Roman" w:cs="Times New Roman"/>
          <w:lang w:val="en-GB"/>
        </w:rPr>
        <w:t xml:space="preserve">a higher </w:t>
      </w:r>
      <w:r w:rsidRPr="00085FA6">
        <w:rPr>
          <w:rFonts w:ascii="Times New Roman" w:hAnsi="Times New Roman" w:cs="Times New Roman"/>
          <w:lang w:val="en-GB"/>
        </w:rPr>
        <w:t xml:space="preserve">estimate seems reasonable. </w:t>
      </w:r>
      <w:r>
        <w:rPr>
          <w:rFonts w:ascii="Times New Roman" w:hAnsi="Times New Roman" w:cs="Times New Roman"/>
          <w:lang w:val="en-GB"/>
        </w:rPr>
        <w:t>A</w:t>
      </w:r>
      <w:r w:rsidRPr="00085FA6">
        <w:rPr>
          <w:rFonts w:ascii="Times New Roman" w:hAnsi="Times New Roman" w:cs="Times New Roman"/>
          <w:lang w:val="en-GB"/>
        </w:rPr>
        <w:t xml:space="preserve"> cost reduction towards 2050</w:t>
      </w:r>
      <w:r>
        <w:rPr>
          <w:rFonts w:ascii="Times New Roman" w:hAnsi="Times New Roman" w:cs="Times New Roman"/>
          <w:lang w:val="en-GB"/>
        </w:rPr>
        <w:t xml:space="preserve"> is also factored in through assuming that the</w:t>
      </w:r>
      <w:r w:rsidRPr="00085FA6">
        <w:rPr>
          <w:rFonts w:ascii="Times New Roman" w:hAnsi="Times New Roman" w:cs="Times New Roman"/>
          <w:lang w:val="en-GB"/>
        </w:rPr>
        <w:t xml:space="preserve"> in</w:t>
      </w:r>
      <w:r>
        <w:rPr>
          <w:rFonts w:ascii="Times New Roman" w:hAnsi="Times New Roman" w:cs="Times New Roman"/>
          <w:lang w:val="en-GB"/>
        </w:rPr>
        <w:t xml:space="preserve">vestment cost per GW falls with 3 % per anno.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IPCC (2011) defines biomass as “Material of biological origin (plants or animal matter), excluding material embedded in geological formations and transformed to fossil fuels or peat.” This wide definition and variety of technologies that come under the term “bio power” means that landing on </w:t>
      </w:r>
      <w:r>
        <w:rPr>
          <w:rFonts w:ascii="Times New Roman" w:hAnsi="Times New Roman" w:cs="Times New Roman"/>
          <w:lang w:val="en-GB"/>
        </w:rPr>
        <w:t>a</w:t>
      </w:r>
      <w:r w:rsidRPr="00085FA6">
        <w:rPr>
          <w:rFonts w:ascii="Times New Roman" w:hAnsi="Times New Roman" w:cs="Times New Roman"/>
          <w:lang w:val="en-GB"/>
        </w:rPr>
        <w:t xml:space="preserve"> cost estimate </w:t>
      </w:r>
      <w:r>
        <w:rPr>
          <w:rFonts w:ascii="Times New Roman" w:hAnsi="Times New Roman" w:cs="Times New Roman"/>
          <w:lang w:val="en-GB"/>
        </w:rPr>
        <w:t xml:space="preserve">for a generic plant </w:t>
      </w:r>
      <w:r w:rsidRPr="00085FA6">
        <w:rPr>
          <w:rFonts w:ascii="Times New Roman" w:hAnsi="Times New Roman" w:cs="Times New Roman"/>
          <w:lang w:val="en-GB"/>
        </w:rPr>
        <w:t>is problematic. The cost of biomass-based power generation depends on type of feedstock used, boiler technology, plant capacity and type of plant. The estimates from OECD (2010) vary considerably from country to country, mainly due to differences in the reported technologies. IEA ETSAP has a range for typical values for a biomass CHP plant in 2010 and an estimate for expected costs in 2020. For new plants it seems reasonable to go with the lower end of what IEA ETSAP</w:t>
      </w:r>
      <w:r w:rsidRPr="00085FA6">
        <w:rPr>
          <w:rStyle w:val="FootnoteReference"/>
          <w:rFonts w:ascii="Times New Roman" w:hAnsi="Times New Roman" w:cs="Times New Roman"/>
          <w:lang w:val="en-GB"/>
        </w:rPr>
        <w:footnoteReference w:id="27"/>
      </w:r>
      <w:r w:rsidRPr="00085FA6">
        <w:rPr>
          <w:rFonts w:ascii="Times New Roman" w:hAnsi="Times New Roman" w:cs="Times New Roman"/>
          <w:lang w:val="en-GB"/>
        </w:rPr>
        <w:t xml:space="preserve"> estimates today, assuming that the cost of a new biomass power plant is</w:t>
      </w:r>
      <w:r w:rsidRPr="00085FA6">
        <w:rPr>
          <w:rFonts w:ascii="Times New Roman" w:hAnsi="Times New Roman" w:cs="Times New Roman"/>
          <w:color w:val="FF0000"/>
          <w:lang w:val="en-GB"/>
        </w:rPr>
        <w:t xml:space="preserve"> </w:t>
      </w:r>
      <w:r w:rsidRPr="00085FA6">
        <w:rPr>
          <w:rFonts w:ascii="Times New Roman" w:hAnsi="Times New Roman" w:cs="Times New Roman"/>
          <w:lang w:val="en-GB"/>
        </w:rPr>
        <w:t xml:space="preserve">2181 €/kW.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For the hydro technologies apart from pumped storage, cost data from NVE for Norway</w:t>
      </w:r>
      <w:r>
        <w:rPr>
          <w:rFonts w:ascii="Times New Roman" w:hAnsi="Times New Roman" w:cs="Times New Roman"/>
          <w:lang w:val="en-GB"/>
        </w:rPr>
        <w:t xml:space="preserve"> has been used</w:t>
      </w:r>
      <w:r w:rsidRPr="00085FA6">
        <w:rPr>
          <w:rFonts w:ascii="Times New Roman" w:hAnsi="Times New Roman" w:cs="Times New Roman"/>
          <w:lang w:val="en-GB"/>
        </w:rPr>
        <w:t>.</w:t>
      </w:r>
      <w:r w:rsidRPr="00085FA6">
        <w:rPr>
          <w:rFonts w:ascii="Times New Roman" w:hAnsi="Times New Roman" w:cs="Times New Roman"/>
          <w:color w:val="FF0000"/>
          <w:lang w:val="en-GB"/>
        </w:rPr>
        <w:t xml:space="preserve"> </w:t>
      </w:r>
      <w:r w:rsidRPr="00085FA6">
        <w:rPr>
          <w:rFonts w:ascii="Times New Roman" w:hAnsi="Times New Roman" w:cs="Times New Roman"/>
          <w:lang w:val="en-GB"/>
        </w:rPr>
        <w:t>The costs for other model countries are then based on this, but adjusted with an investment cost coefficient creating country specific costs for run-of-river and reservoir hydro plants. This coefficient is based on the load hours for each technology compared to Norway. We can then construct country specific investment cost estimates for reservoir hydro and run-of-river plants. The cost of new pumped storage is taken from IEA ETSAP (2012).</w:t>
      </w:r>
      <w:r w:rsidRPr="00085FA6">
        <w:rPr>
          <w:rStyle w:val="FootnoteReference"/>
          <w:rFonts w:ascii="Times New Roman" w:hAnsi="Times New Roman" w:cs="Times New Roman"/>
          <w:lang w:val="en-GB"/>
        </w:rPr>
        <w:footnoteReference w:id="28"/>
      </w:r>
      <w:r w:rsidRPr="00085FA6">
        <w:rPr>
          <w:rFonts w:ascii="Times New Roman" w:hAnsi="Times New Roman" w:cs="Times New Roman"/>
          <w:lang w:val="en-GB"/>
        </w:rPr>
        <w:t xml:space="preserve"> They use 4320 $/kW for a typical pumped storage plant today (their range is from 3500 to 12500 $/kW). Because this is a mature technology we assume that this is representative. </w:t>
      </w:r>
    </w:p>
    <w:p w:rsidR="00EA0538" w:rsidRDefault="00EA0538" w:rsidP="00EA0538">
      <w:pPr>
        <w:rPr>
          <w:rFonts w:ascii="Times New Roman" w:hAnsi="Times New Roman" w:cs="Times New Roman"/>
          <w:b/>
          <w:lang w:val="en-GB"/>
        </w:rPr>
      </w:pPr>
    </w:p>
    <w:p w:rsidR="00EA0538" w:rsidRDefault="00EA0538" w:rsidP="00EA0538">
      <w:pPr>
        <w:rPr>
          <w:rFonts w:ascii="Times New Roman" w:hAnsi="Times New Roman" w:cs="Times New Roman"/>
          <w:b/>
          <w:lang w:val="en-GB"/>
        </w:rPr>
      </w:pPr>
    </w:p>
    <w:p w:rsidR="00EA0538" w:rsidRPr="00D500F9" w:rsidRDefault="00EA0538" w:rsidP="00EA0538">
      <w:pPr>
        <w:rPr>
          <w:rFonts w:ascii="Times New Roman" w:hAnsi="Times New Roman" w:cs="Times New Roman"/>
          <w:sz w:val="20"/>
          <w:szCs w:val="20"/>
          <w:lang w:val="en-GB"/>
        </w:rPr>
      </w:pPr>
      <w:r>
        <w:rPr>
          <w:rFonts w:ascii="Times New Roman" w:hAnsi="Times New Roman" w:cs="Times New Roman"/>
          <w:b/>
          <w:lang w:val="en-GB"/>
        </w:rPr>
        <w:lastRenderedPageBreak/>
        <w:br/>
      </w:r>
      <w:r w:rsidRPr="00D500F9">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7</w:t>
      </w:r>
      <w:r w:rsidRPr="00D500F9">
        <w:rPr>
          <w:rFonts w:ascii="Times New Roman" w:hAnsi="Times New Roman" w:cs="Times New Roman"/>
          <w:b/>
          <w:sz w:val="20"/>
          <w:szCs w:val="20"/>
          <w:lang w:val="en-GB"/>
        </w:rPr>
        <w:t xml:space="preserve"> Investment costs in €2009/kW</w:t>
      </w:r>
    </w:p>
    <w:tbl>
      <w:tblPr>
        <w:tblStyle w:val="LightShading-Accent1"/>
        <w:tblW w:w="0" w:type="auto"/>
        <w:tblLook w:val="04A0" w:firstRow="1" w:lastRow="0" w:firstColumn="1" w:lastColumn="0" w:noHBand="0" w:noVBand="1"/>
      </w:tblPr>
      <w:tblGrid>
        <w:gridCol w:w="1809"/>
        <w:gridCol w:w="1560"/>
        <w:gridCol w:w="1559"/>
        <w:gridCol w:w="1417"/>
        <w:gridCol w:w="1560"/>
        <w:gridCol w:w="1558"/>
        <w:gridCol w:w="859"/>
      </w:tblGrid>
      <w:tr w:rsidR="00EA0538" w:rsidRPr="00430BE0" w:rsidTr="005F3031">
        <w:trPr>
          <w:gridAfter w:val="1"/>
          <w:cnfStyle w:val="100000000000" w:firstRow="1" w:lastRow="0" w:firstColumn="0" w:lastColumn="0" w:oddVBand="0" w:evenVBand="0" w:oddHBand="0" w:evenHBand="0" w:firstRowFirstColumn="0" w:firstRowLastColumn="0" w:lastRowFirstColumn="0" w:lastRowLastColumn="0"/>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9659C7" w:rsidRDefault="00EA0538" w:rsidP="005F3031">
            <w:pPr>
              <w:jc w:val="both"/>
              <w:rPr>
                <w:rFonts w:ascii="Times New Roman" w:hAnsi="Times New Roman" w:cs="Times New Roman"/>
                <w:b w:val="0"/>
                <w:sz w:val="20"/>
                <w:szCs w:val="20"/>
                <w:lang w:val="en-GB"/>
              </w:rPr>
            </w:pPr>
            <w:r w:rsidRPr="009659C7">
              <w:rPr>
                <w:rFonts w:ascii="Times New Roman" w:hAnsi="Times New Roman" w:cs="Times New Roman"/>
                <w:b w:val="0"/>
                <w:sz w:val="20"/>
                <w:szCs w:val="20"/>
                <w:lang w:val="en-GB"/>
              </w:rPr>
              <w:t>Technology</w:t>
            </w:r>
          </w:p>
        </w:tc>
        <w:tc>
          <w:tcPr>
            <w:tcW w:w="1560" w:type="dxa"/>
          </w:tcPr>
          <w:p w:rsidR="00EA0538" w:rsidRPr="00085FA6"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LIBEMOD 2009</w:t>
            </w:r>
          </w:p>
        </w:tc>
        <w:tc>
          <w:tcPr>
            <w:tcW w:w="1559" w:type="dxa"/>
          </w:tcPr>
          <w:p w:rsidR="00EA0538" w:rsidRPr="00085FA6"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9"/>
                <w:szCs w:val="19"/>
                <w:lang w:val="en-GB"/>
              </w:rPr>
            </w:pPr>
            <w:r w:rsidRPr="00085FA6">
              <w:rPr>
                <w:rFonts w:ascii="Times New Roman" w:hAnsi="Times New Roman" w:cs="Times New Roman"/>
                <w:b w:val="0"/>
                <w:sz w:val="19"/>
                <w:szCs w:val="19"/>
                <w:lang w:val="en-GB"/>
              </w:rPr>
              <w:t>IEA ETSAP (2010)</w:t>
            </w:r>
          </w:p>
        </w:tc>
        <w:tc>
          <w:tcPr>
            <w:tcW w:w="1417" w:type="dxa"/>
          </w:tcPr>
          <w:p w:rsidR="00EA0538" w:rsidRPr="00085FA6"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9"/>
                <w:szCs w:val="19"/>
                <w:lang w:val="en-GB"/>
              </w:rPr>
            </w:pPr>
            <w:proofErr w:type="spellStart"/>
            <w:r w:rsidRPr="00085FA6">
              <w:rPr>
                <w:rFonts w:ascii="Times New Roman" w:hAnsi="Times New Roman" w:cs="Times New Roman"/>
                <w:b w:val="0"/>
                <w:sz w:val="19"/>
                <w:szCs w:val="19"/>
                <w:lang w:val="en-GB"/>
              </w:rPr>
              <w:t>Schröder</w:t>
            </w:r>
            <w:proofErr w:type="spellEnd"/>
            <w:r w:rsidRPr="00085FA6">
              <w:rPr>
                <w:rFonts w:ascii="Times New Roman" w:hAnsi="Times New Roman" w:cs="Times New Roman"/>
                <w:b w:val="0"/>
                <w:sz w:val="19"/>
                <w:szCs w:val="19"/>
                <w:lang w:val="en-GB"/>
              </w:rPr>
              <w:t xml:space="preserve"> et al. (2013)</w:t>
            </w:r>
          </w:p>
        </w:tc>
        <w:tc>
          <w:tcPr>
            <w:tcW w:w="1560" w:type="dxa"/>
          </w:tcPr>
          <w:p w:rsidR="00EA0538" w:rsidRPr="00085FA6"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9"/>
                <w:szCs w:val="19"/>
                <w:lang w:val="en-GB"/>
              </w:rPr>
            </w:pPr>
            <w:r w:rsidRPr="00085FA6">
              <w:rPr>
                <w:rFonts w:ascii="Times New Roman" w:hAnsi="Times New Roman" w:cs="Times New Roman"/>
                <w:b w:val="0"/>
                <w:sz w:val="19"/>
                <w:szCs w:val="19"/>
                <w:lang w:val="en-GB"/>
              </w:rPr>
              <w:t>IEA (2010)</w:t>
            </w:r>
          </w:p>
        </w:tc>
        <w:tc>
          <w:tcPr>
            <w:tcW w:w="1558" w:type="dxa"/>
          </w:tcPr>
          <w:p w:rsidR="00EA0538" w:rsidRPr="00085FA6"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9"/>
                <w:szCs w:val="19"/>
                <w:lang w:val="en-GB"/>
              </w:rPr>
            </w:pPr>
            <w:r w:rsidRPr="00085FA6">
              <w:rPr>
                <w:rFonts w:ascii="Times New Roman" w:hAnsi="Times New Roman" w:cs="Times New Roman"/>
                <w:b w:val="0"/>
                <w:sz w:val="19"/>
                <w:szCs w:val="19"/>
                <w:lang w:val="en-GB"/>
              </w:rPr>
              <w:t>Mott MacDonald (2010)</w:t>
            </w:r>
            <w:r w:rsidRPr="00085FA6">
              <w:rPr>
                <w:rStyle w:val="FootnoteReference"/>
                <w:rFonts w:ascii="Times New Roman" w:hAnsi="Times New Roman" w:cs="Times New Roman"/>
                <w:b w:val="0"/>
                <w:sz w:val="19"/>
                <w:szCs w:val="19"/>
                <w:lang w:val="en-GB"/>
              </w:rPr>
              <w:footnoteReference w:id="29"/>
            </w:r>
          </w:p>
        </w:tc>
      </w:tr>
      <w:tr w:rsidR="00EA0538" w:rsidRPr="00085FA6" w:rsidTr="005F3031">
        <w:trPr>
          <w:gridAfter w:val="1"/>
          <w:cnfStyle w:val="000000100000" w:firstRow="0" w:lastRow="0" w:firstColumn="0" w:lastColumn="0" w:oddVBand="0" w:evenVBand="0" w:oddHBand="1" w:evenHBand="0" w:firstRowFirstColumn="0" w:firstRowLastColumn="0" w:lastRowFirstColumn="0" w:lastRowLastColumn="0"/>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 xml:space="preserve">Natural gas </w:t>
            </w:r>
            <w:r w:rsidRPr="00F17E19">
              <w:rPr>
                <w:rFonts w:ascii="Times New Roman" w:hAnsi="Times New Roman" w:cs="Times New Roman"/>
                <w:b w:val="0"/>
                <w:sz w:val="18"/>
                <w:szCs w:val="18"/>
                <w:lang w:val="en-GB"/>
              </w:rPr>
              <w:t>(CCGT)</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950</w:t>
            </w:r>
          </w:p>
        </w:tc>
        <w:tc>
          <w:tcPr>
            <w:tcW w:w="1559"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800</w:t>
            </w:r>
          </w:p>
        </w:tc>
        <w:tc>
          <w:tcPr>
            <w:tcW w:w="1417"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800</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775 – 1291</w:t>
            </w:r>
          </w:p>
        </w:tc>
        <w:tc>
          <w:tcPr>
            <w:tcW w:w="1558"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806</w:t>
            </w:r>
          </w:p>
        </w:tc>
      </w:tr>
      <w:tr w:rsidR="00EA0538" w:rsidRPr="00085FA6" w:rsidTr="005F3031">
        <w:trPr>
          <w:gridAfter w:val="1"/>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Coal</w:t>
            </w:r>
            <w:r>
              <w:rPr>
                <w:rFonts w:ascii="Times New Roman" w:hAnsi="Times New Roman" w:cs="Times New Roman"/>
                <w:b w:val="0"/>
                <w:sz w:val="20"/>
                <w:szCs w:val="20"/>
                <w:lang w:val="en-GB"/>
              </w:rPr>
              <w:t xml:space="preserve"> (PC SC)</w:t>
            </w:r>
          </w:p>
        </w:tc>
        <w:tc>
          <w:tcPr>
            <w:tcW w:w="1560"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1737</w:t>
            </w:r>
          </w:p>
        </w:tc>
        <w:tc>
          <w:tcPr>
            <w:tcW w:w="1559"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w:t>
            </w:r>
            <w:r w:rsidRPr="00085FA6">
              <w:rPr>
                <w:rFonts w:ascii="Times New Roman" w:hAnsi="Times New Roman" w:cs="Times New Roman"/>
                <w:sz w:val="20"/>
                <w:szCs w:val="20"/>
                <w:lang w:val="en-GB"/>
              </w:rPr>
              <w:t>00</w:t>
            </w:r>
          </w:p>
        </w:tc>
        <w:tc>
          <w:tcPr>
            <w:tcW w:w="1417"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1200</w:t>
            </w:r>
          </w:p>
        </w:tc>
        <w:tc>
          <w:tcPr>
            <w:tcW w:w="1560"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1534 – 1988</w:t>
            </w:r>
          </w:p>
        </w:tc>
        <w:tc>
          <w:tcPr>
            <w:tcW w:w="1558"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2009</w:t>
            </w:r>
          </w:p>
        </w:tc>
      </w:tr>
      <w:tr w:rsidR="00EA0538" w:rsidRPr="00085FA6" w:rsidTr="005F3031">
        <w:trPr>
          <w:gridAfter w:val="1"/>
          <w:cnfStyle w:val="000000100000" w:firstRow="0" w:lastRow="0" w:firstColumn="0" w:lastColumn="0" w:oddVBand="0" w:evenVBand="0" w:oddHBand="1" w:evenHBand="0" w:firstRowFirstColumn="0" w:firstRowLastColumn="0" w:lastRowFirstColumn="0" w:lastRowLastColumn="0"/>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Oil</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1411</w:t>
            </w:r>
          </w:p>
        </w:tc>
        <w:tc>
          <w:tcPr>
            <w:tcW w:w="1559"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c>
          <w:tcPr>
            <w:tcW w:w="1417"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400</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c>
          <w:tcPr>
            <w:tcW w:w="1558"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r>
      <w:tr w:rsidR="00EA0538" w:rsidRPr="00085FA6" w:rsidTr="005F3031">
        <w:trPr>
          <w:gridAfter w:val="1"/>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Nuclear</w:t>
            </w:r>
            <w:r>
              <w:rPr>
                <w:rFonts w:ascii="Times New Roman" w:hAnsi="Times New Roman" w:cs="Times New Roman"/>
                <w:b w:val="0"/>
                <w:sz w:val="20"/>
                <w:szCs w:val="20"/>
                <w:lang w:val="en-GB"/>
              </w:rPr>
              <w:t xml:space="preserve"> (EPR)</w:t>
            </w:r>
          </w:p>
        </w:tc>
        <w:tc>
          <w:tcPr>
            <w:tcW w:w="1560"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3260</w:t>
            </w:r>
          </w:p>
        </w:tc>
        <w:tc>
          <w:tcPr>
            <w:tcW w:w="1559"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2181</w:t>
            </w:r>
          </w:p>
        </w:tc>
        <w:tc>
          <w:tcPr>
            <w:tcW w:w="1417"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6000</w:t>
            </w:r>
            <w:r>
              <w:rPr>
                <w:rStyle w:val="FootnoteReference"/>
                <w:rFonts w:ascii="Times New Roman" w:hAnsi="Times New Roman" w:cs="Times New Roman"/>
                <w:sz w:val="20"/>
                <w:szCs w:val="20"/>
                <w:lang w:val="en-GB"/>
              </w:rPr>
              <w:footnoteReference w:id="30"/>
            </w:r>
          </w:p>
        </w:tc>
        <w:tc>
          <w:tcPr>
            <w:tcW w:w="1560"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3228 – 5031</w:t>
            </w:r>
          </w:p>
        </w:tc>
        <w:tc>
          <w:tcPr>
            <w:tcW w:w="1558"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3270</w:t>
            </w:r>
          </w:p>
        </w:tc>
      </w:tr>
      <w:tr w:rsidR="00EA0538" w:rsidRPr="00085FA6" w:rsidTr="005F3031">
        <w:trPr>
          <w:gridAfter w:val="1"/>
          <w:cnfStyle w:val="000000100000" w:firstRow="0" w:lastRow="0" w:firstColumn="0" w:lastColumn="0" w:oddVBand="0" w:evenVBand="0" w:oddHBand="1" w:evenHBand="0" w:firstRowFirstColumn="0" w:firstRowLastColumn="0" w:lastRowFirstColumn="0" w:lastRowLastColumn="0"/>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Biomass</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2181</w:t>
            </w:r>
          </w:p>
        </w:tc>
        <w:tc>
          <w:tcPr>
            <w:tcW w:w="1559"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2181</w:t>
            </w:r>
          </w:p>
        </w:tc>
        <w:tc>
          <w:tcPr>
            <w:tcW w:w="1417"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1934 – 5482</w:t>
            </w:r>
          </w:p>
        </w:tc>
        <w:tc>
          <w:tcPr>
            <w:tcW w:w="1558"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r>
      <w:tr w:rsidR="00EA0538" w:rsidRPr="00085FA6" w:rsidTr="005F3031">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 xml:space="preserve">Solar </w:t>
            </w:r>
            <w:r>
              <w:rPr>
                <w:rFonts w:ascii="Times New Roman" w:hAnsi="Times New Roman" w:cs="Times New Roman"/>
                <w:b w:val="0"/>
                <w:sz w:val="20"/>
                <w:szCs w:val="20"/>
                <w:lang w:val="en-GB"/>
              </w:rPr>
              <w:t>(</w:t>
            </w:r>
            <w:r w:rsidRPr="00085FA6">
              <w:rPr>
                <w:rFonts w:ascii="Times New Roman" w:hAnsi="Times New Roman" w:cs="Times New Roman"/>
                <w:b w:val="0"/>
                <w:sz w:val="20"/>
                <w:szCs w:val="20"/>
                <w:lang w:val="en-GB"/>
              </w:rPr>
              <w:t>PV</w:t>
            </w:r>
            <w:r>
              <w:rPr>
                <w:rFonts w:ascii="Times New Roman" w:hAnsi="Times New Roman" w:cs="Times New Roman"/>
                <w:b w:val="0"/>
                <w:sz w:val="20"/>
                <w:szCs w:val="20"/>
                <w:lang w:val="en-GB"/>
              </w:rPr>
              <w:t>)</w:t>
            </w:r>
          </w:p>
        </w:tc>
        <w:tc>
          <w:tcPr>
            <w:tcW w:w="1560"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2545</w:t>
            </w:r>
          </w:p>
        </w:tc>
        <w:tc>
          <w:tcPr>
            <w:tcW w:w="1559"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2400</w:t>
            </w:r>
          </w:p>
        </w:tc>
        <w:tc>
          <w:tcPr>
            <w:tcW w:w="1417"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1560</w:t>
            </w:r>
          </w:p>
        </w:tc>
        <w:tc>
          <w:tcPr>
            <w:tcW w:w="1560"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2405 – 3802</w:t>
            </w:r>
          </w:p>
        </w:tc>
        <w:tc>
          <w:tcPr>
            <w:tcW w:w="1558" w:type="dxa"/>
          </w:tcPr>
          <w:p w:rsidR="00EA0538" w:rsidRPr="00085FA6"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c>
          <w:tcPr>
            <w:tcW w:w="859" w:type="dxa"/>
          </w:tcPr>
          <w:p w:rsidR="00EA0538" w:rsidRPr="00085FA6"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r>
      <w:tr w:rsidR="00EA0538" w:rsidRPr="00085FA6" w:rsidTr="005F3031">
        <w:trPr>
          <w:gridAfter w:val="1"/>
          <w:cnfStyle w:val="000000100000" w:firstRow="0" w:lastRow="0" w:firstColumn="0" w:lastColumn="0" w:oddVBand="0" w:evenVBand="0" w:oddHBand="1" w:evenHBand="0" w:firstRowFirstColumn="0" w:firstRowLastColumn="0" w:lastRowFirstColumn="0" w:lastRowLastColumn="0"/>
          <w:wAfter w:w="859" w:type="dxa"/>
        </w:trPr>
        <w:tc>
          <w:tcPr>
            <w:cnfStyle w:val="001000000000" w:firstRow="0" w:lastRow="0" w:firstColumn="1" w:lastColumn="0" w:oddVBand="0" w:evenVBand="0" w:oddHBand="0" w:evenHBand="0" w:firstRowFirstColumn="0" w:firstRowLastColumn="0" w:lastRowFirstColumn="0" w:lastRowLastColumn="0"/>
            <w:tcW w:w="1809" w:type="dxa"/>
          </w:tcPr>
          <w:p w:rsidR="00EA0538" w:rsidRPr="00085FA6" w:rsidRDefault="00EA0538" w:rsidP="005F3031">
            <w:pPr>
              <w:rPr>
                <w:rFonts w:ascii="Times New Roman" w:hAnsi="Times New Roman" w:cs="Times New Roman"/>
                <w:b w:val="0"/>
                <w:sz w:val="20"/>
                <w:szCs w:val="20"/>
                <w:lang w:val="en-GB"/>
              </w:rPr>
            </w:pPr>
            <w:r w:rsidRPr="00085FA6">
              <w:rPr>
                <w:rFonts w:ascii="Times New Roman" w:hAnsi="Times New Roman" w:cs="Times New Roman"/>
                <w:b w:val="0"/>
                <w:sz w:val="20"/>
                <w:szCs w:val="20"/>
                <w:lang w:val="en-GB"/>
              </w:rPr>
              <w:t xml:space="preserve">Wind </w:t>
            </w:r>
            <w:r>
              <w:rPr>
                <w:rFonts w:ascii="Times New Roman" w:hAnsi="Times New Roman" w:cs="Times New Roman"/>
                <w:b w:val="0"/>
                <w:sz w:val="20"/>
                <w:szCs w:val="20"/>
                <w:lang w:val="en-GB"/>
              </w:rPr>
              <w:t>(</w:t>
            </w:r>
            <w:r w:rsidRPr="00085FA6">
              <w:rPr>
                <w:rFonts w:ascii="Times New Roman" w:hAnsi="Times New Roman" w:cs="Times New Roman"/>
                <w:b w:val="0"/>
                <w:sz w:val="20"/>
                <w:szCs w:val="20"/>
                <w:lang w:val="en-GB"/>
              </w:rPr>
              <w:t>onshore</w:t>
            </w:r>
            <w:r>
              <w:rPr>
                <w:rFonts w:ascii="Times New Roman" w:hAnsi="Times New Roman" w:cs="Times New Roman"/>
                <w:b w:val="0"/>
                <w:sz w:val="20"/>
                <w:szCs w:val="20"/>
                <w:lang w:val="en-GB"/>
              </w:rPr>
              <w:t>)</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2321</w:t>
            </w:r>
          </w:p>
        </w:tc>
        <w:tc>
          <w:tcPr>
            <w:tcW w:w="1559"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w:t>
            </w:r>
          </w:p>
        </w:tc>
        <w:tc>
          <w:tcPr>
            <w:tcW w:w="1417"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1300</w:t>
            </w:r>
          </w:p>
        </w:tc>
        <w:tc>
          <w:tcPr>
            <w:tcW w:w="1560"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1419 - 1742</w:t>
            </w:r>
          </w:p>
        </w:tc>
        <w:tc>
          <w:tcPr>
            <w:tcW w:w="1558" w:type="dxa"/>
          </w:tcPr>
          <w:p w:rsidR="00EA0538" w:rsidRPr="00085FA6"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85FA6">
              <w:rPr>
                <w:rFonts w:ascii="Times New Roman" w:hAnsi="Times New Roman" w:cs="Times New Roman"/>
                <w:sz w:val="20"/>
                <w:szCs w:val="20"/>
                <w:lang w:val="en-GB"/>
              </w:rPr>
              <w:t>1707</w:t>
            </w:r>
          </w:p>
        </w:tc>
      </w:tr>
    </w:tbl>
    <w:p w:rsidR="00EA0538" w:rsidRDefault="00EA0538" w:rsidP="00EA0538">
      <w:pPr>
        <w:jc w:val="both"/>
        <w:rPr>
          <w:rFonts w:ascii="Times New Roman" w:hAnsi="Times New Roman" w:cs="Times New Roman"/>
          <w:lang w:val="en-GB"/>
        </w:rPr>
      </w:pPr>
      <w:r w:rsidRPr="00085FA6">
        <w:rPr>
          <w:rFonts w:ascii="Times New Roman" w:hAnsi="Times New Roman" w:cs="Times New Roman"/>
          <w:b/>
          <w:lang w:val="en-GB"/>
        </w:rPr>
        <w:br/>
      </w:r>
      <w:r w:rsidRPr="00085FA6">
        <w:rPr>
          <w:rFonts w:ascii="Times New Roman" w:hAnsi="Times New Roman" w:cs="Times New Roman"/>
          <w:lang w:val="en-GB"/>
        </w:rPr>
        <w:t xml:space="preserve">As mentioned above, efficiencies for new power plants have generally been taken from OECD (2010), which has efficiency estimates for plants coming online in 2015. Because </w:t>
      </w:r>
      <w:r>
        <w:rPr>
          <w:rFonts w:ascii="Times New Roman" w:hAnsi="Times New Roman" w:cs="Times New Roman"/>
          <w:lang w:val="en-GB"/>
        </w:rPr>
        <w:t>of the assumption</w:t>
      </w:r>
      <w:r w:rsidRPr="00085FA6">
        <w:rPr>
          <w:rFonts w:ascii="Times New Roman" w:hAnsi="Times New Roman" w:cs="Times New Roman"/>
          <w:lang w:val="en-GB"/>
        </w:rPr>
        <w:t xml:space="preserve"> that the cost of a new plant (of a given technology) is the same for all mod</w:t>
      </w:r>
      <w:r>
        <w:rPr>
          <w:rFonts w:ascii="Times New Roman" w:hAnsi="Times New Roman" w:cs="Times New Roman"/>
          <w:lang w:val="en-GB"/>
        </w:rPr>
        <w:t>el countries, the same applies</w:t>
      </w:r>
      <w:r w:rsidRPr="00085FA6">
        <w:rPr>
          <w:rFonts w:ascii="Times New Roman" w:hAnsi="Times New Roman" w:cs="Times New Roman"/>
          <w:lang w:val="en-GB"/>
        </w:rPr>
        <w:t xml:space="preserve"> for the efficiencies. For new pumped storage there is constant efficiency within each country, but these efficiencies differ across countries because of, e.g. topological differences. For each model country, the efficiency for new pumped storage is set equal to the efficiency of pumped storage in the base year. </w:t>
      </w:r>
      <w:r>
        <w:rPr>
          <w:rFonts w:ascii="Times New Roman" w:hAnsi="Times New Roman" w:cs="Times New Roman"/>
          <w:lang w:val="en-GB"/>
        </w:rPr>
        <w:t xml:space="preserve">Table 8 shows the efficiencies used in the model for new power plants. For gas-fired power plants an efficiency of 60 percent is assumed, and for coal-fired power plants 46 percent. For details on the efficiencies of the CCS technologies see chapter 3.4.2. </w:t>
      </w:r>
    </w:p>
    <w:p w:rsidR="00EA0538" w:rsidRPr="0081399A" w:rsidRDefault="00EA0538" w:rsidP="00EA0538">
      <w:pPr>
        <w:jc w:val="both"/>
        <w:rPr>
          <w:rFonts w:ascii="Times New Roman" w:hAnsi="Times New Roman" w:cs="Times New Roman"/>
          <w:b/>
          <w:sz w:val="20"/>
          <w:szCs w:val="20"/>
          <w:lang w:val="en-GB"/>
        </w:rPr>
      </w:pPr>
      <w:r>
        <w:rPr>
          <w:rFonts w:ascii="Times New Roman" w:hAnsi="Times New Roman" w:cs="Times New Roman"/>
          <w:b/>
          <w:sz w:val="20"/>
          <w:szCs w:val="20"/>
          <w:lang w:val="en-GB"/>
        </w:rPr>
        <w:br/>
      </w:r>
      <w:r w:rsidRPr="0081399A">
        <w:rPr>
          <w:rFonts w:ascii="Times New Roman" w:hAnsi="Times New Roman" w:cs="Times New Roman"/>
          <w:b/>
          <w:sz w:val="20"/>
          <w:szCs w:val="20"/>
          <w:lang w:val="en-GB"/>
        </w:rPr>
        <w:t>Table 8 Efficiencies for new power plants</w:t>
      </w:r>
    </w:p>
    <w:tbl>
      <w:tblPr>
        <w:tblStyle w:val="LightShading-Accent1"/>
        <w:tblW w:w="0" w:type="auto"/>
        <w:tblLook w:val="04A0" w:firstRow="1" w:lastRow="0" w:firstColumn="1" w:lastColumn="0" w:noHBand="0" w:noVBand="1"/>
      </w:tblPr>
      <w:tblGrid>
        <w:gridCol w:w="2235"/>
        <w:gridCol w:w="1842"/>
      </w:tblGrid>
      <w:tr w:rsidR="00EA0538" w:rsidRPr="0081399A" w:rsidTr="005F3031">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35" w:type="dxa"/>
          </w:tcPr>
          <w:p w:rsidR="00EA0538" w:rsidRPr="0081399A" w:rsidRDefault="00EA0538" w:rsidP="005F3031">
            <w:pPr>
              <w:jc w:val="both"/>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Technology</w:t>
            </w:r>
          </w:p>
        </w:tc>
        <w:tc>
          <w:tcPr>
            <w:tcW w:w="1842" w:type="dxa"/>
          </w:tcPr>
          <w:p w:rsidR="00EA0538" w:rsidRPr="0081399A" w:rsidRDefault="00EA0538" w:rsidP="005F303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Efficiency</w:t>
            </w:r>
          </w:p>
        </w:tc>
      </w:tr>
      <w:tr w:rsidR="00EA0538" w:rsidRPr="0081399A" w:rsidTr="005F303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235" w:type="dxa"/>
          </w:tcPr>
          <w:p w:rsidR="00EA0538" w:rsidRPr="0081399A" w:rsidRDefault="00EA0538" w:rsidP="005F3031">
            <w:pPr>
              <w:jc w:val="both"/>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Coal</w:t>
            </w:r>
          </w:p>
        </w:tc>
        <w:tc>
          <w:tcPr>
            <w:tcW w:w="1842" w:type="dxa"/>
          </w:tcPr>
          <w:p w:rsidR="00EA0538" w:rsidRPr="0081399A" w:rsidRDefault="00EA0538" w:rsidP="005F30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46 %</w:t>
            </w:r>
          </w:p>
        </w:tc>
      </w:tr>
      <w:tr w:rsidR="00EA0538" w:rsidRPr="0081399A" w:rsidTr="005F3031">
        <w:trPr>
          <w:trHeight w:val="253"/>
        </w:trPr>
        <w:tc>
          <w:tcPr>
            <w:cnfStyle w:val="001000000000" w:firstRow="0" w:lastRow="0" w:firstColumn="1" w:lastColumn="0" w:oddVBand="0" w:evenVBand="0" w:oddHBand="0" w:evenHBand="0" w:firstRowFirstColumn="0" w:firstRowLastColumn="0" w:lastRowFirstColumn="0" w:lastRowLastColumn="0"/>
            <w:tcW w:w="2235" w:type="dxa"/>
          </w:tcPr>
          <w:p w:rsidR="00EA0538" w:rsidRPr="0081399A" w:rsidRDefault="00EA0538" w:rsidP="005F3031">
            <w:pPr>
              <w:jc w:val="both"/>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Coal CCS greenfield</w:t>
            </w:r>
          </w:p>
        </w:tc>
        <w:tc>
          <w:tcPr>
            <w:tcW w:w="1842" w:type="dxa"/>
          </w:tcPr>
          <w:p w:rsidR="00EA0538" w:rsidRPr="0081399A" w:rsidRDefault="00EA0538" w:rsidP="005F303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37 %</w:t>
            </w:r>
          </w:p>
        </w:tc>
      </w:tr>
      <w:tr w:rsidR="00EA0538" w:rsidRPr="0081399A" w:rsidTr="005F303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235" w:type="dxa"/>
          </w:tcPr>
          <w:p w:rsidR="00EA0538" w:rsidRPr="0081399A" w:rsidRDefault="00EA0538" w:rsidP="005F3031">
            <w:pPr>
              <w:jc w:val="both"/>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Gas</w:t>
            </w:r>
          </w:p>
        </w:tc>
        <w:tc>
          <w:tcPr>
            <w:tcW w:w="1842" w:type="dxa"/>
          </w:tcPr>
          <w:p w:rsidR="00EA0538" w:rsidRPr="0081399A" w:rsidRDefault="00EA0538" w:rsidP="005F30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60 %</w:t>
            </w:r>
          </w:p>
        </w:tc>
      </w:tr>
      <w:tr w:rsidR="00EA0538" w:rsidRPr="0081399A" w:rsidTr="005F3031">
        <w:trPr>
          <w:trHeight w:val="265"/>
        </w:trPr>
        <w:tc>
          <w:tcPr>
            <w:cnfStyle w:val="001000000000" w:firstRow="0" w:lastRow="0" w:firstColumn="1" w:lastColumn="0" w:oddVBand="0" w:evenVBand="0" w:oddHBand="0" w:evenHBand="0" w:firstRowFirstColumn="0" w:firstRowLastColumn="0" w:lastRowFirstColumn="0" w:lastRowLastColumn="0"/>
            <w:tcW w:w="2235" w:type="dxa"/>
          </w:tcPr>
          <w:p w:rsidR="00EA0538" w:rsidRPr="0081399A" w:rsidRDefault="00EA0538" w:rsidP="005F3031">
            <w:pPr>
              <w:jc w:val="both"/>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Gas CCS greenfield</w:t>
            </w:r>
          </w:p>
        </w:tc>
        <w:tc>
          <w:tcPr>
            <w:tcW w:w="1842" w:type="dxa"/>
          </w:tcPr>
          <w:p w:rsidR="00EA0538" w:rsidRPr="0081399A" w:rsidRDefault="00EA0538" w:rsidP="005F303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52 %</w:t>
            </w:r>
          </w:p>
        </w:tc>
      </w:tr>
    </w:tbl>
    <w:p w:rsidR="00EA0538" w:rsidRPr="0081399A" w:rsidRDefault="00EA0538" w:rsidP="00EA0538">
      <w:pPr>
        <w:jc w:val="both"/>
        <w:rPr>
          <w:rFonts w:ascii="Times New Roman" w:hAnsi="Times New Roman" w:cs="Times New Roman"/>
          <w:i/>
          <w:sz w:val="20"/>
          <w:szCs w:val="20"/>
          <w:lang w:val="en-GB"/>
        </w:rPr>
      </w:pPr>
      <w:r w:rsidRPr="0081399A">
        <w:rPr>
          <w:rFonts w:ascii="Times New Roman" w:hAnsi="Times New Roman" w:cs="Times New Roman"/>
          <w:i/>
          <w:sz w:val="20"/>
          <w:szCs w:val="20"/>
          <w:lang w:val="en-GB"/>
        </w:rPr>
        <w:t>Sources: OECD (2010), ZEP (2011) and IEA GHG (2011)</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Because the technical projected efficiencies do not take heat production into account, some of the observed average efficiencies for 2009 are higher than the estimate for the reported best available technology in 2010. This also supports defining the maximal efficiency as the observed 2009 average efficiency multiplied by a factor of 1.05. </w:t>
      </w:r>
    </w:p>
    <w:p w:rsidR="00EA0538" w:rsidRPr="00085FA6" w:rsidRDefault="00EA0538" w:rsidP="00EA0538">
      <w:pPr>
        <w:jc w:val="both"/>
        <w:rPr>
          <w:rFonts w:ascii="Times New Roman" w:hAnsi="Times New Roman" w:cs="Times New Roman"/>
          <w:b/>
          <w:lang w:val="en-GB"/>
        </w:rPr>
      </w:pPr>
    </w:p>
    <w:p w:rsidR="00EA0538" w:rsidRPr="00085FA6" w:rsidRDefault="00EA0538" w:rsidP="00EA0538">
      <w:pPr>
        <w:pStyle w:val="Heading3"/>
        <w:jc w:val="both"/>
        <w:rPr>
          <w:rFonts w:ascii="Times New Roman" w:hAnsi="Times New Roman" w:cs="Times New Roman"/>
          <w:lang w:val="en-GB"/>
        </w:rPr>
      </w:pPr>
      <w:bookmarkStart w:id="22" w:name="_Toc386631735"/>
      <w:r w:rsidRPr="00085FA6">
        <w:rPr>
          <w:rFonts w:ascii="Times New Roman" w:hAnsi="Times New Roman" w:cs="Times New Roman"/>
          <w:lang w:val="en-GB"/>
        </w:rPr>
        <w:t>3.4.2 New power plants with CCS</w:t>
      </w:r>
      <w:bookmarkEnd w:id="22"/>
      <w:r w:rsidRPr="00085FA6">
        <w:rPr>
          <w:rFonts w:ascii="Times New Roman" w:hAnsi="Times New Roman" w:cs="Times New Roman"/>
          <w:lang w:val="en-GB"/>
        </w:rPr>
        <w:t xml:space="preserve"> </w:t>
      </w:r>
    </w:p>
    <w:p w:rsidR="00EA0538" w:rsidRPr="001265A2" w:rsidRDefault="00EA0538" w:rsidP="00EA0538">
      <w:pPr>
        <w:jc w:val="both"/>
        <w:rPr>
          <w:rFonts w:ascii="Times New Roman" w:hAnsi="Times New Roman" w:cs="Times New Roman"/>
          <w:lang w:val="en-GB"/>
        </w:rPr>
      </w:pPr>
      <w:r w:rsidRPr="00085FA6">
        <w:rPr>
          <w:rFonts w:ascii="Times New Roman" w:hAnsi="Times New Roman" w:cs="Times New Roman"/>
          <w:lang w:val="en-GB"/>
        </w:rPr>
        <w:t>Carbon capture and storage (CCS) is a process to prevent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from being released into the atmosphere.  A power plant with CCS is able to capture the CO</w:t>
      </w:r>
      <w:r w:rsidRPr="00085FA6">
        <w:rPr>
          <w:rFonts w:ascii="Times New Roman" w:hAnsi="Times New Roman" w:cs="Times New Roman"/>
          <w:vertAlign w:val="subscript"/>
          <w:lang w:val="en-GB"/>
        </w:rPr>
        <w:t xml:space="preserve">2 </w:t>
      </w:r>
      <w:r w:rsidRPr="00085FA6">
        <w:rPr>
          <w:rFonts w:ascii="Times New Roman" w:hAnsi="Times New Roman" w:cs="Times New Roman"/>
          <w:lang w:val="en-GB"/>
        </w:rPr>
        <w:t>and</w:t>
      </w:r>
      <w:r w:rsidRPr="00085FA6">
        <w:rPr>
          <w:rFonts w:ascii="Times New Roman" w:hAnsi="Times New Roman" w:cs="Times New Roman"/>
          <w:vertAlign w:val="subscript"/>
          <w:lang w:val="en-GB"/>
        </w:rPr>
        <w:t xml:space="preserve"> </w:t>
      </w:r>
      <w:r w:rsidRPr="00085FA6">
        <w:rPr>
          <w:rFonts w:ascii="Times New Roman" w:hAnsi="Times New Roman" w:cs="Times New Roman"/>
          <w:lang w:val="en-GB"/>
        </w:rPr>
        <w:t>transport it to a suitable location where it can be permanently stored.</w:t>
      </w:r>
      <w:r w:rsidRPr="00085FA6">
        <w:rPr>
          <w:rStyle w:val="FootnoteReference"/>
          <w:rFonts w:ascii="Times New Roman" w:hAnsi="Times New Roman" w:cs="Times New Roman"/>
          <w:lang w:val="en-GB"/>
        </w:rPr>
        <w:footnoteReference w:id="31"/>
      </w:r>
      <w:r w:rsidRPr="00085FA6">
        <w:rPr>
          <w:rFonts w:ascii="Times New Roman" w:hAnsi="Times New Roman" w:cs="Times New Roman"/>
          <w:lang w:val="en-GB"/>
        </w:rPr>
        <w:t xml:space="preserve"> CCS is still an immature technology, and there are various different capture technologies under development. </w:t>
      </w:r>
      <w:r>
        <w:rPr>
          <w:rFonts w:ascii="Times New Roman" w:hAnsi="Times New Roman" w:cs="Times New Roman"/>
          <w:lang w:val="en-GB"/>
        </w:rPr>
        <w:t>There are</w:t>
      </w:r>
      <w:r w:rsidRPr="00085FA6">
        <w:rPr>
          <w:rFonts w:ascii="Times New Roman" w:hAnsi="Times New Roman" w:cs="Times New Roman"/>
          <w:lang w:val="en-GB"/>
        </w:rPr>
        <w:t xml:space="preserve"> four different carbon capture and storage technologies</w:t>
      </w:r>
      <w:r>
        <w:rPr>
          <w:rFonts w:ascii="Times New Roman" w:hAnsi="Times New Roman" w:cs="Times New Roman"/>
          <w:lang w:val="en-GB"/>
        </w:rPr>
        <w:t xml:space="preserve"> in the model</w:t>
      </w:r>
      <w:r w:rsidRPr="00085FA6">
        <w:rPr>
          <w:rFonts w:ascii="Times New Roman" w:hAnsi="Times New Roman" w:cs="Times New Roman"/>
          <w:lang w:val="en-GB"/>
        </w:rPr>
        <w:t xml:space="preserve">; retrofit CCS for existing coal power plants, retrofit CCS for existing gas power plants, greenfield CCS coal power plants and greenfield CCS gas power plants. The </w:t>
      </w:r>
      <w:proofErr w:type="gramStart"/>
      <w:r w:rsidRPr="00085FA6">
        <w:rPr>
          <w:rFonts w:ascii="Times New Roman" w:hAnsi="Times New Roman" w:cs="Times New Roman"/>
          <w:lang w:val="en-GB"/>
        </w:rPr>
        <w:t>greenfield</w:t>
      </w:r>
      <w:proofErr w:type="gramEnd"/>
      <w:r w:rsidRPr="00085FA6">
        <w:rPr>
          <w:rFonts w:ascii="Times New Roman" w:hAnsi="Times New Roman" w:cs="Times New Roman"/>
          <w:lang w:val="en-GB"/>
        </w:rPr>
        <w:t xml:space="preserve"> plants are new gas and coal power plants complete with CCS. The costs of the two retrofit options are based on the CCS technology being retrofitted to an already existing power plant. </w:t>
      </w:r>
      <w:r>
        <w:rPr>
          <w:rFonts w:ascii="Times New Roman" w:hAnsi="Times New Roman" w:cs="Times New Roman"/>
          <w:lang w:val="en-GB"/>
        </w:rPr>
        <w:t>A CO</w:t>
      </w:r>
      <w:r>
        <w:rPr>
          <w:rFonts w:ascii="Times New Roman" w:hAnsi="Times New Roman" w:cs="Times New Roman"/>
          <w:vertAlign w:val="subscript"/>
          <w:lang w:val="en-GB"/>
        </w:rPr>
        <w:t>2</w:t>
      </w:r>
      <w:r>
        <w:rPr>
          <w:rFonts w:ascii="Times New Roman" w:hAnsi="Times New Roman" w:cs="Times New Roman"/>
          <w:lang w:val="en-GB"/>
        </w:rPr>
        <w:t xml:space="preserve"> capture level of 90 % is assumed for all CCS technologies.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costs of </w:t>
      </w:r>
      <w:proofErr w:type="gramStart"/>
      <w:r w:rsidRPr="00085FA6">
        <w:rPr>
          <w:rFonts w:ascii="Times New Roman" w:hAnsi="Times New Roman" w:cs="Times New Roman"/>
          <w:lang w:val="en-GB"/>
        </w:rPr>
        <w:t>greenfield</w:t>
      </w:r>
      <w:proofErr w:type="gramEnd"/>
      <w:r w:rsidRPr="00085FA6">
        <w:rPr>
          <w:rFonts w:ascii="Times New Roman" w:hAnsi="Times New Roman" w:cs="Times New Roman"/>
          <w:lang w:val="en-GB"/>
        </w:rPr>
        <w:t xml:space="preserve"> gas and greenfield coal p</w:t>
      </w:r>
      <w:r>
        <w:rPr>
          <w:rFonts w:ascii="Times New Roman" w:hAnsi="Times New Roman" w:cs="Times New Roman"/>
          <w:lang w:val="en-GB"/>
        </w:rPr>
        <w:t>lants are taken from ZEP (2011b</w:t>
      </w:r>
      <w:r w:rsidRPr="00085FA6">
        <w:rPr>
          <w:rFonts w:ascii="Times New Roman" w:hAnsi="Times New Roman" w:cs="Times New Roman"/>
          <w:lang w:val="en-GB"/>
        </w:rPr>
        <w:t>).</w:t>
      </w:r>
      <w:r w:rsidRPr="00085FA6">
        <w:rPr>
          <w:rStyle w:val="FootnoteReference"/>
          <w:rFonts w:ascii="Times New Roman" w:hAnsi="Times New Roman" w:cs="Times New Roman"/>
          <w:lang w:val="en-GB"/>
        </w:rPr>
        <w:footnoteReference w:id="32"/>
      </w:r>
      <w:r w:rsidRPr="00085FA6">
        <w:rPr>
          <w:rFonts w:ascii="Times New Roman" w:hAnsi="Times New Roman" w:cs="Times New Roman"/>
          <w:lang w:val="en-GB"/>
        </w:rPr>
        <w:t xml:space="preserve"> The report distinguishes between several different types of power plants with CCS. After consultation with industry experts, a combined cycle gas </w:t>
      </w:r>
      <w:r w:rsidRPr="00085FA6">
        <w:rPr>
          <w:rFonts w:ascii="Times New Roman" w:hAnsi="Times New Roman" w:cs="Times New Roman"/>
          <w:lang w:val="en-GB"/>
        </w:rPr>
        <w:lastRenderedPageBreak/>
        <w:t>turbine (CCGT) plant and an integrated gasification combined cycle (IGCC) coal power plant were chosen.</w:t>
      </w:r>
      <w:r w:rsidRPr="00085FA6">
        <w:rPr>
          <w:rStyle w:val="FootnoteReference"/>
          <w:rFonts w:ascii="Times New Roman" w:hAnsi="Times New Roman" w:cs="Times New Roman"/>
          <w:lang w:val="en-GB"/>
        </w:rPr>
        <w:footnoteReference w:id="33"/>
      </w:r>
      <w:r w:rsidRPr="00085FA6">
        <w:rPr>
          <w:rFonts w:ascii="Times New Roman" w:hAnsi="Times New Roman" w:cs="Times New Roman"/>
          <w:lang w:val="en-GB"/>
        </w:rPr>
        <w:t xml:space="preserve"> The investment costs for these were 1829 €/kW and 3080 €/kW respectively.</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For retrofit CCS costs there were fewer sources. When an already existing power plant is being retrofitted with CCS equipment, the investment costs involved will be</w:t>
      </w:r>
      <w:r w:rsidRPr="00085FA6">
        <w:rPr>
          <w:rFonts w:ascii="Times New Roman" w:hAnsi="Times New Roman" w:cs="Times New Roman"/>
          <w:color w:val="FF0000"/>
          <w:lang w:val="en-GB"/>
        </w:rPr>
        <w:t xml:space="preserve"> </w:t>
      </w:r>
      <w:r w:rsidRPr="00085FA6">
        <w:rPr>
          <w:rFonts w:ascii="Times New Roman" w:hAnsi="Times New Roman" w:cs="Times New Roman"/>
          <w:lang w:val="en-GB"/>
        </w:rPr>
        <w:t>power plant and site specific. These costs are therefore more difficult to predict as some plants will require more work. However, for the model we assume that there is one retrofit technology for natural gas and one for coal. IEA GHG (2011) has investment costs for several different retrofit solutions for natural gas and coal power plants. After consultation with industry experts, we decided to use the costs for the “integrated retrofit” solution. For a natural gas plant the investment cost for this type of retrofit is 669 €/kW, whereas for a coal plant it is 1035 €/kW.</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 xml:space="preserve">It is assumed that the investment costs for all four CCS technologies fall with 0.5 % per anno towards 2030 due to learning effects. The O&amp;M costs for the CCS technologies are described in chapter 3.3.3. </w:t>
      </w:r>
    </w:p>
    <w:p w:rsidR="00EA0538" w:rsidRPr="00D500F9" w:rsidRDefault="00EA0538" w:rsidP="00EA0538">
      <w:pPr>
        <w:rPr>
          <w:rFonts w:ascii="Times New Roman" w:hAnsi="Times New Roman" w:cs="Times New Roman"/>
          <w:b/>
          <w:sz w:val="20"/>
          <w:szCs w:val="20"/>
          <w:lang w:val="en-GB"/>
        </w:rPr>
      </w:pPr>
      <w:r w:rsidRPr="00085FA6">
        <w:rPr>
          <w:rFonts w:ascii="Times New Roman" w:hAnsi="Times New Roman" w:cs="Times New Roman"/>
          <w:lang w:val="en-GB"/>
        </w:rPr>
        <w:br/>
      </w:r>
      <w:r w:rsidRPr="00D500F9">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9</w:t>
      </w:r>
      <w:r w:rsidRPr="00D500F9">
        <w:rPr>
          <w:rFonts w:ascii="Times New Roman" w:hAnsi="Times New Roman" w:cs="Times New Roman"/>
          <w:b/>
          <w:sz w:val="20"/>
          <w:szCs w:val="20"/>
          <w:lang w:val="en-GB"/>
        </w:rPr>
        <w:t xml:space="preserve"> Investment costs of power plants with CCS  </w:t>
      </w:r>
    </w:p>
    <w:tbl>
      <w:tblPr>
        <w:tblStyle w:val="LightShading-Accent1"/>
        <w:tblW w:w="0" w:type="auto"/>
        <w:tblLook w:val="04A0" w:firstRow="1" w:lastRow="0" w:firstColumn="1" w:lastColumn="0" w:noHBand="0" w:noVBand="1"/>
      </w:tblPr>
      <w:tblGrid>
        <w:gridCol w:w="2660"/>
        <w:gridCol w:w="4819"/>
        <w:gridCol w:w="3203"/>
      </w:tblGrid>
      <w:tr w:rsidR="00EA0538" w:rsidRPr="00D500F9"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Type of CCS plant</w:t>
            </w:r>
          </w:p>
        </w:tc>
        <w:tc>
          <w:tcPr>
            <w:tcW w:w="4819" w:type="dxa"/>
          </w:tcPr>
          <w:p w:rsidR="00EA0538" w:rsidRPr="00D500F9"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 xml:space="preserve">Technology  </w:t>
            </w:r>
          </w:p>
        </w:tc>
        <w:tc>
          <w:tcPr>
            <w:tcW w:w="3203" w:type="dxa"/>
          </w:tcPr>
          <w:p w:rsidR="00EA0538" w:rsidRPr="00D500F9" w:rsidRDefault="00EA0538" w:rsidP="005F30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Investment costs</w:t>
            </w:r>
          </w:p>
        </w:tc>
      </w:tr>
      <w:tr w:rsidR="00EA0538" w:rsidRPr="00D500F9"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 xml:space="preserve">Natural gas - greenfield </w:t>
            </w:r>
          </w:p>
        </w:tc>
        <w:tc>
          <w:tcPr>
            <w:tcW w:w="4819" w:type="dxa"/>
          </w:tcPr>
          <w:p w:rsidR="00EA0538" w:rsidRPr="00D500F9"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Combined Cycle Gas Turbine  (CCGT)</w:t>
            </w:r>
          </w:p>
        </w:tc>
        <w:tc>
          <w:tcPr>
            <w:tcW w:w="3203"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1846</w:t>
            </w:r>
            <w:r w:rsidRPr="00D500F9">
              <w:rPr>
                <w:rFonts w:ascii="Times New Roman" w:hAnsi="Times New Roman" w:cs="Times New Roman"/>
                <w:sz w:val="20"/>
                <w:szCs w:val="20"/>
                <w:lang w:val="en-GB"/>
              </w:rPr>
              <w:t xml:space="preserve"> €/kW</w:t>
            </w:r>
          </w:p>
        </w:tc>
      </w:tr>
      <w:tr w:rsidR="00EA0538" w:rsidRPr="00D500F9" w:rsidTr="005F3031">
        <w:tc>
          <w:tcPr>
            <w:cnfStyle w:val="001000000000" w:firstRow="0" w:lastRow="0" w:firstColumn="1" w:lastColumn="0" w:oddVBand="0" w:evenVBand="0" w:oddHBand="0" w:evenHBand="0" w:firstRowFirstColumn="0" w:firstRowLastColumn="0" w:lastRowFirstColumn="0" w:lastRowLastColumn="0"/>
            <w:tcW w:w="2660"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Coal - greenfield</w:t>
            </w:r>
          </w:p>
        </w:tc>
        <w:tc>
          <w:tcPr>
            <w:tcW w:w="4819" w:type="dxa"/>
          </w:tcPr>
          <w:p w:rsidR="00EA0538" w:rsidRPr="00D500F9"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Integrated gasification combined cycle (IGCC)</w:t>
            </w:r>
          </w:p>
        </w:tc>
        <w:tc>
          <w:tcPr>
            <w:tcW w:w="3203"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3114</w:t>
            </w:r>
            <w:r w:rsidRPr="00D500F9">
              <w:rPr>
                <w:rFonts w:ascii="Times New Roman" w:hAnsi="Times New Roman" w:cs="Times New Roman"/>
                <w:sz w:val="20"/>
                <w:szCs w:val="20"/>
                <w:lang w:val="en-GB"/>
              </w:rPr>
              <w:t xml:space="preserve"> €/kW</w:t>
            </w:r>
          </w:p>
        </w:tc>
      </w:tr>
      <w:tr w:rsidR="00EA0538" w:rsidRPr="00D500F9"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Natural gas - retrofit</w:t>
            </w:r>
          </w:p>
        </w:tc>
        <w:tc>
          <w:tcPr>
            <w:tcW w:w="4819" w:type="dxa"/>
          </w:tcPr>
          <w:p w:rsidR="00EA0538" w:rsidRPr="00D500F9"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Integrated retrofit (CCGT)</w:t>
            </w:r>
          </w:p>
        </w:tc>
        <w:tc>
          <w:tcPr>
            <w:tcW w:w="3203" w:type="dxa"/>
          </w:tcPr>
          <w:p w:rsidR="00EA0538" w:rsidRPr="00D500F9" w:rsidRDefault="00EA0538" w:rsidP="005F30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 xml:space="preserve"> 665</w:t>
            </w:r>
            <w:r w:rsidRPr="00D500F9">
              <w:rPr>
                <w:rFonts w:ascii="Times New Roman" w:hAnsi="Times New Roman" w:cs="Times New Roman"/>
                <w:sz w:val="20"/>
                <w:szCs w:val="20"/>
                <w:lang w:val="en-GB"/>
              </w:rPr>
              <w:t xml:space="preserve"> €/kW</w:t>
            </w:r>
          </w:p>
        </w:tc>
      </w:tr>
      <w:tr w:rsidR="00EA0538" w:rsidRPr="00D500F9" w:rsidTr="005F3031">
        <w:tc>
          <w:tcPr>
            <w:cnfStyle w:val="001000000000" w:firstRow="0" w:lastRow="0" w:firstColumn="1" w:lastColumn="0" w:oddVBand="0" w:evenVBand="0" w:oddHBand="0" w:evenHBand="0" w:firstRowFirstColumn="0" w:firstRowLastColumn="0" w:lastRowFirstColumn="0" w:lastRowLastColumn="0"/>
            <w:tcW w:w="2660" w:type="dxa"/>
          </w:tcPr>
          <w:p w:rsidR="00EA0538" w:rsidRPr="00D500F9" w:rsidRDefault="00EA0538" w:rsidP="005F3031">
            <w:pPr>
              <w:rPr>
                <w:rFonts w:ascii="Times New Roman" w:hAnsi="Times New Roman" w:cs="Times New Roman"/>
                <w:b w:val="0"/>
                <w:sz w:val="20"/>
                <w:szCs w:val="20"/>
                <w:lang w:val="en-GB"/>
              </w:rPr>
            </w:pPr>
            <w:r w:rsidRPr="00D500F9">
              <w:rPr>
                <w:rFonts w:ascii="Times New Roman" w:hAnsi="Times New Roman" w:cs="Times New Roman"/>
                <w:b w:val="0"/>
                <w:sz w:val="20"/>
                <w:szCs w:val="20"/>
                <w:lang w:val="en-GB"/>
              </w:rPr>
              <w:t>Coal - retrofit</w:t>
            </w:r>
          </w:p>
        </w:tc>
        <w:tc>
          <w:tcPr>
            <w:tcW w:w="4819" w:type="dxa"/>
          </w:tcPr>
          <w:p w:rsidR="00EA0538" w:rsidRPr="00D500F9"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500F9">
              <w:rPr>
                <w:rFonts w:ascii="Times New Roman" w:hAnsi="Times New Roman" w:cs="Times New Roman"/>
                <w:sz w:val="20"/>
                <w:szCs w:val="20"/>
                <w:lang w:val="en-GB"/>
              </w:rPr>
              <w:t>Integrated retrofit (PC)</w:t>
            </w:r>
          </w:p>
        </w:tc>
        <w:tc>
          <w:tcPr>
            <w:tcW w:w="3203" w:type="dxa"/>
          </w:tcPr>
          <w:p w:rsidR="00EA0538" w:rsidRPr="00D500F9" w:rsidRDefault="00EA0538" w:rsidP="005F3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1027</w:t>
            </w:r>
            <w:r w:rsidRPr="00D500F9">
              <w:rPr>
                <w:rFonts w:ascii="Times New Roman" w:hAnsi="Times New Roman" w:cs="Times New Roman"/>
                <w:sz w:val="20"/>
                <w:szCs w:val="20"/>
                <w:lang w:val="en-GB"/>
              </w:rPr>
              <w:t xml:space="preserve"> €/kW</w:t>
            </w:r>
          </w:p>
        </w:tc>
      </w:tr>
    </w:tbl>
    <w:p w:rsidR="00EA0538" w:rsidRPr="0081399A" w:rsidRDefault="00EA0538" w:rsidP="00EA0538">
      <w:pPr>
        <w:jc w:val="both"/>
        <w:rPr>
          <w:rFonts w:ascii="Times New Roman" w:hAnsi="Times New Roman" w:cs="Times New Roman"/>
          <w:i/>
          <w:sz w:val="20"/>
          <w:szCs w:val="20"/>
          <w:lang w:val="en-GB"/>
        </w:rPr>
      </w:pPr>
      <w:r>
        <w:rPr>
          <w:rFonts w:ascii="Times New Roman" w:hAnsi="Times New Roman" w:cs="Times New Roman"/>
          <w:i/>
          <w:sz w:val="20"/>
          <w:szCs w:val="20"/>
          <w:lang w:val="en-GB"/>
        </w:rPr>
        <w:t>Sources:</w:t>
      </w:r>
      <w:r w:rsidRPr="0081399A">
        <w:rPr>
          <w:rFonts w:ascii="Times New Roman" w:hAnsi="Times New Roman" w:cs="Times New Roman"/>
          <w:i/>
          <w:sz w:val="20"/>
          <w:szCs w:val="20"/>
          <w:lang w:val="en-GB"/>
        </w:rPr>
        <w:t xml:space="preserve"> ZEP (2011) and IEA GHG (2011)</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 xml:space="preserve">The cost of the integrated retrofit option only includes retrofitting the plant, the initial costs of the power plant are considered sunk. </w:t>
      </w:r>
      <w:r w:rsidRPr="00085FA6">
        <w:rPr>
          <w:rFonts w:ascii="Times New Roman" w:hAnsi="Times New Roman" w:cs="Times New Roman"/>
          <w:lang w:val="en-GB"/>
        </w:rPr>
        <w:t xml:space="preserve">The costs in table </w:t>
      </w:r>
      <w:r>
        <w:rPr>
          <w:rFonts w:ascii="Times New Roman" w:hAnsi="Times New Roman" w:cs="Times New Roman"/>
          <w:lang w:val="en-GB"/>
        </w:rPr>
        <w:t>9</w:t>
      </w:r>
      <w:r w:rsidRPr="00085FA6">
        <w:rPr>
          <w:rFonts w:ascii="Times New Roman" w:hAnsi="Times New Roman" w:cs="Times New Roman"/>
          <w:lang w:val="en-GB"/>
        </w:rPr>
        <w:t xml:space="preserve"> </w:t>
      </w:r>
      <w:r>
        <w:rPr>
          <w:rFonts w:ascii="Times New Roman" w:hAnsi="Times New Roman" w:cs="Times New Roman"/>
          <w:lang w:val="en-GB"/>
        </w:rPr>
        <w:t>do not cover</w:t>
      </w:r>
      <w:r w:rsidRPr="00085FA6">
        <w:rPr>
          <w:rFonts w:ascii="Times New Roman" w:hAnsi="Times New Roman" w:cs="Times New Roman"/>
          <w:lang w:val="en-GB"/>
        </w:rPr>
        <w:t xml:space="preserve"> the </w:t>
      </w:r>
      <w:r>
        <w:rPr>
          <w:rFonts w:ascii="Times New Roman" w:hAnsi="Times New Roman" w:cs="Times New Roman"/>
          <w:lang w:val="en-GB"/>
        </w:rPr>
        <w:t xml:space="preserve">cost of </w:t>
      </w:r>
      <w:r w:rsidRPr="00085FA6">
        <w:rPr>
          <w:rFonts w:ascii="Times New Roman" w:hAnsi="Times New Roman" w:cs="Times New Roman"/>
          <w:lang w:val="en-GB"/>
        </w:rPr>
        <w:t>transportation and storage of the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w:t>
      </w:r>
      <w:r>
        <w:rPr>
          <w:rFonts w:ascii="Times New Roman" w:hAnsi="Times New Roman" w:cs="Times New Roman"/>
          <w:lang w:val="en-GB"/>
        </w:rPr>
        <w:t>ZEP (2011a</w:t>
      </w:r>
      <w:r w:rsidRPr="00085FA6">
        <w:rPr>
          <w:rFonts w:ascii="Times New Roman" w:hAnsi="Times New Roman" w:cs="Times New Roman"/>
          <w:lang w:val="en-GB"/>
        </w:rPr>
        <w:t>) has cost data for this second stage where the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is transported from the capture site to the storage facility. </w:t>
      </w:r>
      <w:r>
        <w:rPr>
          <w:rFonts w:ascii="Times New Roman" w:hAnsi="Times New Roman" w:cs="Times New Roman"/>
          <w:lang w:val="en-GB"/>
        </w:rPr>
        <w:t>According to ZEP (2011a</w:t>
      </w:r>
      <w:r w:rsidRPr="00085FA6">
        <w:rPr>
          <w:rFonts w:ascii="Times New Roman" w:hAnsi="Times New Roman" w:cs="Times New Roman"/>
          <w:lang w:val="en-GB"/>
        </w:rPr>
        <w:t xml:space="preserve">), existing studies on </w:t>
      </w:r>
      <w:r w:rsidRPr="00085FA6">
        <w:rPr>
          <w:rFonts w:ascii="Times New Roman" w:hAnsi="Times New Roman" w:cs="Times New Roman"/>
          <w:i/>
          <w:lang w:val="en-GB"/>
        </w:rPr>
        <w:t>transportation costs</w:t>
      </w:r>
      <w:r w:rsidRPr="00085FA6">
        <w:rPr>
          <w:rFonts w:ascii="Times New Roman" w:hAnsi="Times New Roman" w:cs="Times New Roman"/>
          <w:lang w:val="en-GB"/>
        </w:rPr>
        <w:t xml:space="preserve"> were inadequate for a review, so the costs in the report are based on input from EU-member states and in-house ZEP analysis. The two main transport options for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from a power plant are through a pipeline network o</w:t>
      </w:r>
      <w:r>
        <w:rPr>
          <w:rFonts w:ascii="Times New Roman" w:hAnsi="Times New Roman" w:cs="Times New Roman"/>
          <w:lang w:val="en-GB"/>
        </w:rPr>
        <w:t>r</w:t>
      </w:r>
      <w:r w:rsidRPr="00085FA6">
        <w:rPr>
          <w:rFonts w:ascii="Times New Roman" w:hAnsi="Times New Roman" w:cs="Times New Roman"/>
          <w:lang w:val="en-GB"/>
        </w:rPr>
        <w:t xml:space="preserve"> with ship. We have chosen to model pipelines.</w:t>
      </w:r>
      <w:r w:rsidRPr="00085FA6">
        <w:rPr>
          <w:rStyle w:val="FootnoteReference"/>
          <w:rFonts w:ascii="Times New Roman" w:hAnsi="Times New Roman" w:cs="Times New Roman"/>
          <w:lang w:val="en-GB"/>
        </w:rPr>
        <w:footnoteReference w:id="34"/>
      </w:r>
      <w:r w:rsidRPr="00085FA6">
        <w:rPr>
          <w:rFonts w:ascii="Times New Roman" w:hAnsi="Times New Roman" w:cs="Times New Roman"/>
          <w:lang w:val="en-GB"/>
        </w:rPr>
        <w:t xml:space="preserve"> </w:t>
      </w:r>
      <w:r>
        <w:rPr>
          <w:rFonts w:ascii="Times New Roman" w:hAnsi="Times New Roman" w:cs="Times New Roman"/>
          <w:lang w:val="en-GB"/>
        </w:rPr>
        <w:t>ZEP (2011a</w:t>
      </w:r>
      <w:r w:rsidRPr="00085FA6">
        <w:rPr>
          <w:rFonts w:ascii="Times New Roman" w:hAnsi="Times New Roman" w:cs="Times New Roman"/>
          <w:lang w:val="en-GB"/>
        </w:rPr>
        <w:t>) provides two sets of cost estimates for pipelines. One is for a typical capacity of 2.5 million tonnes per annum (</w:t>
      </w:r>
      <w:proofErr w:type="spellStart"/>
      <w:r w:rsidRPr="00085FA6">
        <w:rPr>
          <w:rFonts w:ascii="Times New Roman" w:hAnsi="Times New Roman" w:cs="Times New Roman"/>
          <w:lang w:val="en-GB"/>
        </w:rPr>
        <w:t>Mtpa</w:t>
      </w:r>
      <w:proofErr w:type="spellEnd"/>
      <w:r w:rsidRPr="00085FA6">
        <w:rPr>
          <w:rFonts w:ascii="Times New Roman" w:hAnsi="Times New Roman" w:cs="Times New Roman"/>
          <w:lang w:val="en-GB"/>
        </w:rPr>
        <w:t xml:space="preserve">), which is considered to be appropriate for CCS demonstration projects and commercial natural gas plants with CCS, and the other is for a pipeline with typical capacity of 20 </w:t>
      </w:r>
      <w:proofErr w:type="spellStart"/>
      <w:r w:rsidRPr="00085FA6">
        <w:rPr>
          <w:rFonts w:ascii="Times New Roman" w:hAnsi="Times New Roman" w:cs="Times New Roman"/>
          <w:lang w:val="en-GB"/>
        </w:rPr>
        <w:t>Mtpa</w:t>
      </w:r>
      <w:proofErr w:type="spellEnd"/>
      <w:r w:rsidRPr="00085FA6">
        <w:rPr>
          <w:rFonts w:ascii="Times New Roman" w:hAnsi="Times New Roman" w:cs="Times New Roman"/>
          <w:lang w:val="en-GB"/>
        </w:rPr>
        <w:t>,</w:t>
      </w:r>
      <w:r w:rsidRPr="00085FA6">
        <w:rPr>
          <w:rStyle w:val="FootnoteReference"/>
          <w:rFonts w:ascii="Times New Roman" w:hAnsi="Times New Roman" w:cs="Times New Roman"/>
          <w:lang w:val="en-GB"/>
        </w:rPr>
        <w:footnoteReference w:id="35"/>
      </w:r>
      <w:r w:rsidRPr="00085FA6">
        <w:rPr>
          <w:rFonts w:ascii="Times New Roman" w:hAnsi="Times New Roman" w:cs="Times New Roman"/>
          <w:lang w:val="en-GB"/>
        </w:rPr>
        <w:t xml:space="preserve"> which is thought more realistic for commercial large-scale networks. The unit transportation costs for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/tonne vary with distance and whether it is an onshore or offshore pipeline. We have assumed a cost of </w:t>
      </w:r>
      <w:r w:rsidRPr="00085FA6">
        <w:rPr>
          <w:rFonts w:ascii="Times New Roman" w:hAnsi="Times New Roman" w:cs="Times New Roman"/>
          <w:lang w:val="en-US"/>
        </w:rPr>
        <w:t>6 €/tCO</w:t>
      </w:r>
      <w:r w:rsidRPr="00085FA6">
        <w:rPr>
          <w:rFonts w:ascii="Times New Roman" w:hAnsi="Times New Roman" w:cs="Times New Roman"/>
          <w:vertAlign w:val="subscript"/>
          <w:lang w:val="en-US"/>
        </w:rPr>
        <w:t>2</w:t>
      </w:r>
      <w:r w:rsidRPr="00085FA6">
        <w:rPr>
          <w:rFonts w:ascii="Times New Roman" w:hAnsi="Times New Roman" w:cs="Times New Roman"/>
          <w:lang w:val="en-US"/>
        </w:rPr>
        <w:t xml:space="preserve"> for transportation. This is based on an offshore pipeline of 500 km with a typical capacity of 20 </w:t>
      </w:r>
      <w:proofErr w:type="spellStart"/>
      <w:r w:rsidRPr="00085FA6">
        <w:rPr>
          <w:rFonts w:ascii="Times New Roman" w:hAnsi="Times New Roman" w:cs="Times New Roman"/>
          <w:lang w:val="en-US"/>
        </w:rPr>
        <w:t>Mtpa</w:t>
      </w:r>
      <w:proofErr w:type="spellEnd"/>
      <w:r w:rsidRPr="00085FA6">
        <w:rPr>
          <w:rFonts w:ascii="Times New Roman" w:hAnsi="Times New Roman" w:cs="Times New Roman"/>
          <w:lang w:val="en-US"/>
        </w:rPr>
        <w:t xml:space="preserve">.  </w:t>
      </w:r>
    </w:p>
    <w:p w:rsidR="00EA0538" w:rsidRPr="00085FA6" w:rsidRDefault="00EA0538" w:rsidP="00EA0538">
      <w:pPr>
        <w:jc w:val="both"/>
        <w:rPr>
          <w:rFonts w:ascii="Times New Roman" w:hAnsi="Times New Roman" w:cs="Times New Roman"/>
          <w:lang w:val="en-US"/>
        </w:rPr>
      </w:pPr>
      <w:r w:rsidRPr="00085FA6">
        <w:rPr>
          <w:rFonts w:ascii="Times New Roman" w:hAnsi="Times New Roman" w:cs="Times New Roman"/>
          <w:i/>
          <w:lang w:val="en-US"/>
        </w:rPr>
        <w:t>Storage costs</w:t>
      </w:r>
      <w:r w:rsidRPr="00085FA6">
        <w:rPr>
          <w:rFonts w:ascii="Times New Roman" w:hAnsi="Times New Roman" w:cs="Times New Roman"/>
          <w:lang w:val="en-US"/>
        </w:rPr>
        <w:t xml:space="preserve"> depend on factors like field capacity, well injection rate and type of reservoir, and are thought to vary consi</w:t>
      </w:r>
      <w:r>
        <w:rPr>
          <w:rFonts w:ascii="Times New Roman" w:hAnsi="Times New Roman" w:cs="Times New Roman"/>
          <w:lang w:val="en-US"/>
        </w:rPr>
        <w:t>derably between sites. ZEP (2011a</w:t>
      </w:r>
      <w:r w:rsidRPr="00085FA6">
        <w:rPr>
          <w:rFonts w:ascii="Times New Roman" w:hAnsi="Times New Roman" w:cs="Times New Roman"/>
          <w:lang w:val="en-US"/>
        </w:rPr>
        <w:t xml:space="preserve">) provides low, medium and high cost scenarios for storage depending on type of well (depleted oil and gas field or saline aquifer) and whether it is </w:t>
      </w:r>
      <w:r>
        <w:rPr>
          <w:rFonts w:ascii="Times New Roman" w:hAnsi="Times New Roman" w:cs="Times New Roman"/>
          <w:lang w:val="en-US"/>
        </w:rPr>
        <w:t xml:space="preserve">located </w:t>
      </w:r>
      <w:r w:rsidRPr="00085FA6">
        <w:rPr>
          <w:rFonts w:ascii="Times New Roman" w:hAnsi="Times New Roman" w:cs="Times New Roman"/>
          <w:lang w:val="en-US"/>
        </w:rPr>
        <w:t>onshore or offshore. In Europe there is more offshore than onshore capacity, and more capacity in saline aquifers than in deple</w:t>
      </w:r>
      <w:r>
        <w:rPr>
          <w:rFonts w:ascii="Times New Roman" w:hAnsi="Times New Roman" w:cs="Times New Roman"/>
          <w:lang w:val="en-US"/>
        </w:rPr>
        <w:t>ted oil and gas fields (ZEP 2011a</w:t>
      </w:r>
      <w:r w:rsidRPr="00085FA6">
        <w:rPr>
          <w:rFonts w:ascii="Times New Roman" w:hAnsi="Times New Roman" w:cs="Times New Roman"/>
          <w:lang w:val="en-US"/>
        </w:rPr>
        <w:t>). This means that the majority of the potential European storage sites are of the most expensive kind. There has also been public resistance to storage onshore near where people live due to the risk of leakages.</w:t>
      </w:r>
      <w:r w:rsidRPr="00085FA6">
        <w:rPr>
          <w:rStyle w:val="FootnoteReference"/>
          <w:rFonts w:ascii="Times New Roman" w:hAnsi="Times New Roman" w:cs="Times New Roman"/>
          <w:lang w:val="en-US"/>
        </w:rPr>
        <w:footnoteReference w:id="36"/>
      </w:r>
      <w:r w:rsidRPr="00085FA6">
        <w:rPr>
          <w:rFonts w:ascii="Times New Roman" w:hAnsi="Times New Roman" w:cs="Times New Roman"/>
          <w:lang w:val="en-US"/>
        </w:rPr>
        <w:t xml:space="preserve"> Taking this into </w:t>
      </w:r>
      <w:r w:rsidRPr="00085FA6">
        <w:rPr>
          <w:rFonts w:ascii="Times New Roman" w:hAnsi="Times New Roman" w:cs="Times New Roman"/>
          <w:lang w:val="en-US"/>
        </w:rPr>
        <w:lastRenderedPageBreak/>
        <w:t>consideration we assume a storage cost of 10 €/tCO</w:t>
      </w:r>
      <w:r w:rsidRPr="00085FA6">
        <w:rPr>
          <w:rFonts w:ascii="Times New Roman" w:hAnsi="Times New Roman" w:cs="Times New Roman"/>
          <w:vertAlign w:val="subscript"/>
          <w:lang w:val="en-US"/>
        </w:rPr>
        <w:t>2</w:t>
      </w:r>
      <w:r w:rsidRPr="00085FA6">
        <w:rPr>
          <w:rFonts w:ascii="Times New Roman" w:hAnsi="Times New Roman" w:cs="Times New Roman"/>
          <w:lang w:val="en-US"/>
        </w:rPr>
        <w:t>,</w:t>
      </w:r>
      <w:r w:rsidRPr="00085FA6">
        <w:rPr>
          <w:rStyle w:val="FootnoteReference"/>
          <w:rFonts w:ascii="Times New Roman" w:hAnsi="Times New Roman" w:cs="Times New Roman"/>
          <w:lang w:val="en-US"/>
        </w:rPr>
        <w:footnoteReference w:id="37"/>
      </w:r>
      <w:r w:rsidRPr="00085FA6">
        <w:rPr>
          <w:rFonts w:ascii="Times New Roman" w:hAnsi="Times New Roman" w:cs="Times New Roman"/>
          <w:lang w:val="en-US"/>
        </w:rPr>
        <w:t xml:space="preserve"> which is based on depleted offshore oil and gas fields in ZEP’s medium cost scenario.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Due to the carbon capture, CCS plants will incur an </w:t>
      </w:r>
      <w:r w:rsidRPr="00085FA6">
        <w:rPr>
          <w:rFonts w:ascii="Times New Roman" w:hAnsi="Times New Roman" w:cs="Times New Roman"/>
          <w:i/>
          <w:lang w:val="en-GB"/>
        </w:rPr>
        <w:t>efficiency penalty</w:t>
      </w:r>
      <w:r w:rsidRPr="00085FA6">
        <w:rPr>
          <w:rFonts w:ascii="Times New Roman" w:hAnsi="Times New Roman" w:cs="Times New Roman"/>
          <w:lang w:val="en-GB"/>
        </w:rPr>
        <w:t xml:space="preserve"> compared to power plants without CCS. Whether the plant is a new </w:t>
      </w:r>
      <w:proofErr w:type="gramStart"/>
      <w:r w:rsidRPr="00085FA6">
        <w:rPr>
          <w:rFonts w:ascii="Times New Roman" w:hAnsi="Times New Roman" w:cs="Times New Roman"/>
          <w:lang w:val="en-GB"/>
        </w:rPr>
        <w:t>greenfield</w:t>
      </w:r>
      <w:proofErr w:type="gramEnd"/>
      <w:r w:rsidRPr="00085FA6">
        <w:rPr>
          <w:rFonts w:ascii="Times New Roman" w:hAnsi="Times New Roman" w:cs="Times New Roman"/>
          <w:lang w:val="en-GB"/>
        </w:rPr>
        <w:t xml:space="preserve"> unit or an old plant with retrofitted CCS will have an impact, however most of the literature assumes that there is little difference in the actual efficiency penalty between greenfield plants and plants that are retrofitted. The difference in actual efficiency can mainly be attributed to how older existing plants that are candidates for being retrofitted have a lower efficiency than a newly built plant made specifically for CCS. The reduction in efficiency for retrofits is plant specific, and the plants’ efficiency will fall and costs increase depending on to what degree it is suitable for CCS (IEA 2007). Many existing plants may not be good candidates for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capture retrofit due to being too small and/or too inefficient.</w:t>
      </w:r>
      <w:r w:rsidRPr="00085FA6">
        <w:rPr>
          <w:rStyle w:val="FootnoteReference"/>
          <w:rFonts w:ascii="Times New Roman" w:hAnsi="Times New Roman" w:cs="Times New Roman"/>
          <w:lang w:val="en-GB"/>
        </w:rPr>
        <w:footnoteReference w:id="38"/>
      </w:r>
      <w:r w:rsidRPr="00085FA6">
        <w:rPr>
          <w:rFonts w:ascii="Times New Roman" w:hAnsi="Times New Roman" w:cs="Times New Roman"/>
          <w:lang w:val="en-GB"/>
        </w:rPr>
        <w:t xml:space="preserve"> </w:t>
      </w:r>
      <w:proofErr w:type="spellStart"/>
      <w:r>
        <w:rPr>
          <w:rFonts w:ascii="Times New Roman" w:hAnsi="Times New Roman" w:cs="Times New Roman"/>
          <w:lang w:val="en-GB"/>
        </w:rPr>
        <w:t>Burnard</w:t>
      </w:r>
      <w:proofErr w:type="spellEnd"/>
      <w:r>
        <w:rPr>
          <w:rFonts w:ascii="Times New Roman" w:hAnsi="Times New Roman" w:cs="Times New Roman"/>
          <w:lang w:val="en-GB"/>
        </w:rPr>
        <w:t xml:space="preserve"> and Bhattacharya (</w:t>
      </w:r>
      <w:r w:rsidRPr="00085FA6">
        <w:rPr>
          <w:rFonts w:ascii="Times New Roman" w:hAnsi="Times New Roman" w:cs="Times New Roman"/>
          <w:lang w:val="en-GB"/>
        </w:rPr>
        <w:t xml:space="preserve">2011) assume that the higher the efficiency of the existing plant, the more favourable it will be to retrofit. Due to the limited experience with retrofit projects there is considerable uncertainty regarding how low a power plants initial efficiency can be before the plant is unsuitable for retrofit.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For coal plants there may also be a higher penalty for retrofitted plants if the damp from the turbine is not completely compatible with what the capture process requires (</w:t>
      </w:r>
      <w:proofErr w:type="spellStart"/>
      <w:r w:rsidRPr="00085FA6">
        <w:rPr>
          <w:rFonts w:ascii="Times New Roman" w:hAnsi="Times New Roman" w:cs="Times New Roman"/>
          <w:lang w:val="en-GB"/>
        </w:rPr>
        <w:t>Gassnova</w:t>
      </w:r>
      <w:proofErr w:type="spellEnd"/>
      <w:r w:rsidRPr="00085FA6">
        <w:rPr>
          <w:rFonts w:ascii="Times New Roman" w:hAnsi="Times New Roman" w:cs="Times New Roman"/>
          <w:lang w:val="en-GB"/>
        </w:rPr>
        <w:t xml:space="preserve">). The IEA GHG study uses a 9 percentage point reduction for both </w:t>
      </w:r>
      <w:proofErr w:type="gramStart"/>
      <w:r w:rsidRPr="00085FA6">
        <w:rPr>
          <w:rFonts w:ascii="Times New Roman" w:hAnsi="Times New Roman" w:cs="Times New Roman"/>
          <w:lang w:val="en-GB"/>
        </w:rPr>
        <w:t>greenfield</w:t>
      </w:r>
      <w:proofErr w:type="gramEnd"/>
      <w:r w:rsidRPr="00085FA6">
        <w:rPr>
          <w:rFonts w:ascii="Times New Roman" w:hAnsi="Times New Roman" w:cs="Times New Roman"/>
          <w:lang w:val="en-GB"/>
        </w:rPr>
        <w:t xml:space="preserve"> and retrofitted plants. ZEP and NETL also use the same reduction across types of plants; 8 and 10 percentage points respectively.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Based on this literature and advice from industry experts, we assume that the penalty for </w:t>
      </w:r>
      <w:r>
        <w:rPr>
          <w:rFonts w:ascii="Times New Roman" w:hAnsi="Times New Roman" w:cs="Times New Roman"/>
          <w:lang w:val="en-GB"/>
        </w:rPr>
        <w:t>natural gas</w:t>
      </w:r>
      <w:r w:rsidRPr="00085FA6">
        <w:rPr>
          <w:rFonts w:ascii="Times New Roman" w:hAnsi="Times New Roman" w:cs="Times New Roman"/>
          <w:lang w:val="en-GB"/>
        </w:rPr>
        <w:t xml:space="preserve"> plants </w:t>
      </w:r>
      <w:r>
        <w:rPr>
          <w:rFonts w:ascii="Times New Roman" w:hAnsi="Times New Roman" w:cs="Times New Roman"/>
          <w:lang w:val="en-GB"/>
        </w:rPr>
        <w:t>(</w:t>
      </w:r>
      <w:proofErr w:type="gramStart"/>
      <w:r>
        <w:rPr>
          <w:rFonts w:ascii="Times New Roman" w:hAnsi="Times New Roman" w:cs="Times New Roman"/>
          <w:lang w:val="en-GB"/>
        </w:rPr>
        <w:t>greenfield</w:t>
      </w:r>
      <w:proofErr w:type="gramEnd"/>
      <w:r>
        <w:rPr>
          <w:rFonts w:ascii="Times New Roman" w:hAnsi="Times New Roman" w:cs="Times New Roman"/>
          <w:lang w:val="en-GB"/>
        </w:rPr>
        <w:t xml:space="preserve"> and retrofit) </w:t>
      </w:r>
      <w:r w:rsidRPr="00085FA6">
        <w:rPr>
          <w:rFonts w:ascii="Times New Roman" w:hAnsi="Times New Roman" w:cs="Times New Roman"/>
          <w:lang w:val="en-GB"/>
        </w:rPr>
        <w:t xml:space="preserve">is an 8 percentage point reduction in efficiency, and likewise a 9 percentage point penalty for both types of </w:t>
      </w:r>
      <w:r>
        <w:rPr>
          <w:rFonts w:ascii="Times New Roman" w:hAnsi="Times New Roman" w:cs="Times New Roman"/>
          <w:lang w:val="en-GB"/>
        </w:rPr>
        <w:t>coal power plants</w:t>
      </w:r>
      <w:r w:rsidRPr="00085FA6">
        <w:rPr>
          <w:rFonts w:ascii="Times New Roman" w:hAnsi="Times New Roman" w:cs="Times New Roman"/>
          <w:lang w:val="en-GB"/>
        </w:rPr>
        <w:t xml:space="preserve">. </w:t>
      </w:r>
      <w:r>
        <w:rPr>
          <w:rFonts w:ascii="Times New Roman" w:hAnsi="Times New Roman" w:cs="Times New Roman"/>
          <w:lang w:val="en-GB"/>
        </w:rPr>
        <w:t xml:space="preserve">For </w:t>
      </w:r>
      <w:proofErr w:type="gramStart"/>
      <w:r>
        <w:rPr>
          <w:rFonts w:ascii="Times New Roman" w:hAnsi="Times New Roman" w:cs="Times New Roman"/>
          <w:lang w:val="en-GB"/>
        </w:rPr>
        <w:t>greenfield</w:t>
      </w:r>
      <w:proofErr w:type="gramEnd"/>
      <w:r>
        <w:rPr>
          <w:rFonts w:ascii="Times New Roman" w:hAnsi="Times New Roman" w:cs="Times New Roman"/>
          <w:lang w:val="en-GB"/>
        </w:rPr>
        <w:t xml:space="preserve"> plants the reduction is based on the efficiency of new plants without CCS, 60 % for natural gas and 46 % for coal powered plants. </w:t>
      </w:r>
      <w:r w:rsidRPr="00085FA6">
        <w:rPr>
          <w:rFonts w:ascii="Times New Roman" w:hAnsi="Times New Roman" w:cs="Times New Roman"/>
          <w:lang w:val="en-GB"/>
        </w:rPr>
        <w:t>Because the retrofits are installed on old power plants, we assume that the reduction is from the distribution of efficiency of what we refer to as “old plants” in each country in LIBEMOD.</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 </w:t>
      </w:r>
    </w:p>
    <w:p w:rsidR="00EA0538" w:rsidRPr="00AE20E9" w:rsidRDefault="00EA0538" w:rsidP="00EA0538">
      <w:pPr>
        <w:pStyle w:val="Heading3"/>
        <w:jc w:val="both"/>
        <w:rPr>
          <w:rFonts w:ascii="Times New Roman" w:hAnsi="Times New Roman" w:cs="Times New Roman"/>
          <w:lang w:val="en-GB"/>
        </w:rPr>
      </w:pPr>
      <w:bookmarkStart w:id="23" w:name="_Toc386631736"/>
      <w:r w:rsidRPr="00AE20E9">
        <w:rPr>
          <w:rFonts w:ascii="Times New Roman" w:hAnsi="Times New Roman" w:cs="Times New Roman"/>
          <w:lang w:val="en-GB"/>
        </w:rPr>
        <w:t>3.4.3 Grid connection costs</w:t>
      </w:r>
      <w:bookmarkEnd w:id="23"/>
      <w:r w:rsidRPr="00AE20E9">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When investment is made in a new power plant, one of the cost components involved will be to get the plant connected to the grid. This additional cost of grid connection is not included in the cost estimates mentioned above, apart for reservoir hydro and run-of-river plants. So for all other technologies it is assumed that there is an additional grid connection cost when investing in a new power plant. This cost is made up of two elements; the new transmission lines to connect the plant to the grid and reinforcement of the grid as a result of a new plant coming online. Both of these aspects are often discussed with regards to wind power plants, as the good wind power resources may be located far from the load centres and because introduction of intermittent power sources requires the grid to be more robust. Figure 4 (from Nielsen et al. 2006) shows the increase in grid connection costs for different shares of wind penetration. </w:t>
      </w:r>
    </w:p>
    <w:p w:rsidR="00EA0538" w:rsidRDefault="00EA0538" w:rsidP="00EA0538">
      <w:pPr>
        <w:jc w:val="both"/>
        <w:rPr>
          <w:rFonts w:ascii="Times New Roman" w:hAnsi="Times New Roman" w:cs="Times New Roman"/>
          <w:b/>
          <w:sz w:val="19"/>
          <w:szCs w:val="19"/>
          <w:lang w:val="en-GB"/>
        </w:rPr>
      </w:pPr>
    </w:p>
    <w:p w:rsidR="000F349D" w:rsidRDefault="000F349D" w:rsidP="00EA0538">
      <w:pPr>
        <w:jc w:val="both"/>
        <w:rPr>
          <w:rFonts w:ascii="Times New Roman" w:hAnsi="Times New Roman" w:cs="Times New Roman"/>
          <w:b/>
          <w:sz w:val="19"/>
          <w:szCs w:val="19"/>
          <w:lang w:val="en-GB"/>
        </w:rPr>
      </w:pPr>
    </w:p>
    <w:p w:rsidR="000F349D" w:rsidRDefault="000F349D" w:rsidP="00EA0538">
      <w:pPr>
        <w:jc w:val="both"/>
        <w:rPr>
          <w:rFonts w:ascii="Times New Roman" w:hAnsi="Times New Roman" w:cs="Times New Roman"/>
          <w:b/>
          <w:sz w:val="19"/>
          <w:szCs w:val="19"/>
          <w:lang w:val="en-GB"/>
        </w:rPr>
      </w:pPr>
      <w:bookmarkStart w:id="24" w:name="_GoBack"/>
      <w:bookmarkEnd w:id="24"/>
    </w:p>
    <w:p w:rsidR="00EA0538" w:rsidRPr="00DE05C4" w:rsidRDefault="00EA0538" w:rsidP="00EA0538">
      <w:pPr>
        <w:jc w:val="both"/>
        <w:rPr>
          <w:rFonts w:ascii="Times New Roman" w:hAnsi="Times New Roman" w:cs="Times New Roman"/>
          <w:b/>
          <w:sz w:val="19"/>
          <w:szCs w:val="19"/>
          <w:lang w:val="en-GB"/>
        </w:rPr>
      </w:pPr>
      <w:r w:rsidRPr="00DE05C4">
        <w:rPr>
          <w:rFonts w:ascii="Times New Roman" w:hAnsi="Times New Roman" w:cs="Times New Roman"/>
          <w:b/>
          <w:sz w:val="19"/>
          <w:szCs w:val="19"/>
          <w:lang w:val="en-GB"/>
        </w:rPr>
        <w:lastRenderedPageBreak/>
        <w:t xml:space="preserve">Figure </w:t>
      </w:r>
      <w:r>
        <w:rPr>
          <w:rFonts w:ascii="Times New Roman" w:hAnsi="Times New Roman" w:cs="Times New Roman"/>
          <w:b/>
          <w:sz w:val="19"/>
          <w:szCs w:val="19"/>
          <w:lang w:val="en-GB"/>
        </w:rPr>
        <w:t>4</w:t>
      </w:r>
      <w:r w:rsidRPr="00DE05C4">
        <w:rPr>
          <w:rFonts w:ascii="Times New Roman" w:hAnsi="Times New Roman" w:cs="Times New Roman"/>
          <w:b/>
          <w:sz w:val="19"/>
          <w:szCs w:val="19"/>
          <w:lang w:val="en-GB"/>
        </w:rPr>
        <w:t xml:space="preserve"> Country specific transmission grid reinforcement/upgrading costs for different shares of wind penetration in €/</w:t>
      </w:r>
      <w:proofErr w:type="spellStart"/>
      <w:r w:rsidRPr="00DE05C4">
        <w:rPr>
          <w:rFonts w:ascii="Times New Roman" w:hAnsi="Times New Roman" w:cs="Times New Roman"/>
          <w:b/>
          <w:sz w:val="19"/>
          <w:szCs w:val="19"/>
          <w:lang w:val="en-GB"/>
        </w:rPr>
        <w:t>MWh</w:t>
      </w:r>
      <w:r w:rsidRPr="00DE05C4">
        <w:rPr>
          <w:rFonts w:ascii="Times New Roman" w:hAnsi="Times New Roman" w:cs="Times New Roman"/>
          <w:b/>
          <w:sz w:val="19"/>
          <w:szCs w:val="19"/>
          <w:vertAlign w:val="subscript"/>
          <w:lang w:val="en-GB"/>
        </w:rPr>
        <w:t>wind</w:t>
      </w:r>
      <w:proofErr w:type="spellEnd"/>
    </w:p>
    <w:p w:rsidR="00EA0538" w:rsidRPr="00D1604D" w:rsidRDefault="00EA0538" w:rsidP="00EA0538">
      <w:pPr>
        <w:rPr>
          <w:rFonts w:ascii="Times New Roman" w:hAnsi="Times New Roman" w:cs="Times New Roman"/>
          <w:sz w:val="20"/>
          <w:szCs w:val="20"/>
          <w:lang w:val="en-GB"/>
        </w:rPr>
      </w:pPr>
      <w:r w:rsidRPr="005E5895">
        <w:rPr>
          <w:rFonts w:ascii="Times New Roman" w:hAnsi="Times New Roman" w:cs="Times New Roman"/>
          <w:noProof/>
        </w:rPr>
        <w:drawing>
          <wp:inline distT="0" distB="0" distL="0" distR="0" wp14:anchorId="4BA0E8A9" wp14:editId="770A6E07">
            <wp:extent cx="4828032" cy="23373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Net_wind_penetration_grid_reinforcement_costs.png"/>
                    <pic:cNvPicPr/>
                  </pic:nvPicPr>
                  <pic:blipFill rotWithShape="1">
                    <a:blip r:embed="rId12">
                      <a:extLst>
                        <a:ext uri="{28A0092B-C50C-407E-A947-70E740481C1C}">
                          <a14:useLocalDpi xmlns:a14="http://schemas.microsoft.com/office/drawing/2010/main" val="0"/>
                        </a:ext>
                      </a:extLst>
                    </a:blip>
                    <a:srcRect b="11542"/>
                    <a:stretch/>
                  </pic:blipFill>
                  <pic:spPr bwMode="auto">
                    <a:xfrm>
                      <a:off x="0" y="0"/>
                      <a:ext cx="4839658" cy="234295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lang w:val="en-GB"/>
        </w:rPr>
        <w:br/>
      </w:r>
      <w:r>
        <w:rPr>
          <w:rFonts w:ascii="Times New Roman" w:hAnsi="Times New Roman" w:cs="Times New Roman"/>
          <w:i/>
          <w:sz w:val="20"/>
          <w:szCs w:val="20"/>
          <w:lang w:val="en-GB"/>
        </w:rPr>
        <w:t xml:space="preserve">   </w:t>
      </w:r>
      <w:r w:rsidRPr="00D1604D">
        <w:rPr>
          <w:rFonts w:ascii="Times New Roman" w:hAnsi="Times New Roman" w:cs="Times New Roman"/>
          <w:i/>
          <w:sz w:val="20"/>
          <w:szCs w:val="20"/>
          <w:lang w:val="en-GB"/>
        </w:rPr>
        <w:t>Source: Nielsen et al. 2006.</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According to </w:t>
      </w:r>
      <w:proofErr w:type="spellStart"/>
      <w:r>
        <w:rPr>
          <w:rFonts w:ascii="Times New Roman" w:hAnsi="Times New Roman" w:cs="Times New Roman"/>
          <w:lang w:val="en-GB"/>
        </w:rPr>
        <w:t>GreenNet</w:t>
      </w:r>
      <w:proofErr w:type="spellEnd"/>
      <w:r>
        <w:rPr>
          <w:rFonts w:ascii="Times New Roman" w:hAnsi="Times New Roman" w:cs="Times New Roman"/>
          <w:lang w:val="en-GB"/>
        </w:rPr>
        <w:t xml:space="preserve"> (2006), the approach to cost allocation for grid reinforcement varies across Europe. In some countries the developers only pay for the connection to the grid, whereas in other they also have to cover a share of the grid integration costs. In the model we have not distinguished between countries.  Issuance of EU directives on cost transparency in grid infrastructure in general is likely to encourage more countries to move towards a separation of the costs in the future (</w:t>
      </w:r>
      <w:proofErr w:type="spellStart"/>
      <w:r>
        <w:rPr>
          <w:rFonts w:ascii="Times New Roman" w:hAnsi="Times New Roman" w:cs="Times New Roman"/>
          <w:lang w:val="en-GB"/>
        </w:rPr>
        <w:t>GreenNet</w:t>
      </w:r>
      <w:proofErr w:type="spellEnd"/>
      <w:r>
        <w:rPr>
          <w:rFonts w:ascii="Times New Roman" w:hAnsi="Times New Roman" w:cs="Times New Roman"/>
          <w:lang w:val="en-GB"/>
        </w:rPr>
        <w:t xml:space="preserve"> 2006). </w:t>
      </w:r>
    </w:p>
    <w:p w:rsidR="00EA0538" w:rsidRPr="00702BC6" w:rsidRDefault="00EA0538" w:rsidP="00EA0538">
      <w:pPr>
        <w:jc w:val="both"/>
        <w:rPr>
          <w:rFonts w:ascii="Times New Roman" w:hAnsi="Times New Roman" w:cs="Times New Roman"/>
          <w:lang w:val="en-GB"/>
        </w:rPr>
      </w:pPr>
      <w:r>
        <w:rPr>
          <w:rFonts w:ascii="Times New Roman" w:hAnsi="Times New Roman" w:cs="Times New Roman"/>
          <w:lang w:val="en-GB"/>
        </w:rPr>
        <w:t>In the model it is assumed</w:t>
      </w:r>
      <w:r w:rsidRPr="00702BC6">
        <w:rPr>
          <w:rFonts w:ascii="Times New Roman" w:hAnsi="Times New Roman" w:cs="Times New Roman"/>
          <w:lang w:val="en-GB"/>
        </w:rPr>
        <w:t xml:space="preserve"> that </w:t>
      </w:r>
      <w:r>
        <w:rPr>
          <w:rFonts w:ascii="Times New Roman" w:hAnsi="Times New Roman" w:cs="Times New Roman"/>
          <w:lang w:val="en-GB"/>
        </w:rPr>
        <w:t>all technologies have</w:t>
      </w:r>
      <w:r w:rsidRPr="00702BC6">
        <w:rPr>
          <w:rFonts w:ascii="Times New Roman" w:hAnsi="Times New Roman" w:cs="Times New Roman"/>
          <w:lang w:val="en-GB"/>
        </w:rPr>
        <w:t xml:space="preserve"> an extra cost component linked to grid connection</w:t>
      </w:r>
      <w:r>
        <w:rPr>
          <w:rFonts w:ascii="Times New Roman" w:hAnsi="Times New Roman" w:cs="Times New Roman"/>
          <w:lang w:val="en-GB"/>
        </w:rPr>
        <w:t>.</w:t>
      </w:r>
      <w:r w:rsidRPr="00702BC6">
        <w:rPr>
          <w:rFonts w:ascii="Times New Roman" w:hAnsi="Times New Roman" w:cs="Times New Roman"/>
          <w:lang w:val="en-GB"/>
        </w:rPr>
        <w:t xml:space="preserve"> According to IRENA (2012), this cost makes up between 9 and 14 % of total investment costs for onshore wind. </w:t>
      </w:r>
      <w:r>
        <w:rPr>
          <w:rFonts w:ascii="Times New Roman" w:hAnsi="Times New Roman" w:cs="Times New Roman"/>
          <w:lang w:val="en-GB"/>
        </w:rPr>
        <w:t>It is</w:t>
      </w:r>
      <w:r w:rsidRPr="00702BC6">
        <w:rPr>
          <w:rFonts w:ascii="Times New Roman" w:hAnsi="Times New Roman" w:cs="Times New Roman"/>
          <w:lang w:val="en-GB"/>
        </w:rPr>
        <w:t xml:space="preserve"> therefore assumed that if the average wind power capacity in the model countries increases with 10 %, then the extra cost of grid connection (including the cost of upgrading the existing network due to congestion as a result of more plants coming online) for the marginal wind power plant is 10 % of the investment costs for wind power. This is the same for all countries. We then assume that 80 % of this cost is linked to actu</w:t>
      </w:r>
      <w:r>
        <w:rPr>
          <w:rFonts w:ascii="Times New Roman" w:hAnsi="Times New Roman" w:cs="Times New Roman"/>
          <w:lang w:val="en-GB"/>
        </w:rPr>
        <w:t>ally connecting to the grid</w:t>
      </w:r>
      <w:r w:rsidRPr="00702BC6">
        <w:rPr>
          <w:rFonts w:ascii="Times New Roman" w:hAnsi="Times New Roman" w:cs="Times New Roman"/>
          <w:lang w:val="en-GB"/>
        </w:rPr>
        <w:t xml:space="preserve">, whereas the remaining </w:t>
      </w:r>
      <w:r>
        <w:rPr>
          <w:rFonts w:ascii="Times New Roman" w:hAnsi="Times New Roman" w:cs="Times New Roman"/>
          <w:lang w:val="en-GB"/>
        </w:rPr>
        <w:t xml:space="preserve">cost </w:t>
      </w:r>
      <w:r w:rsidRPr="00702BC6">
        <w:rPr>
          <w:rFonts w:ascii="Times New Roman" w:hAnsi="Times New Roman" w:cs="Times New Roman"/>
          <w:lang w:val="en-GB"/>
        </w:rPr>
        <w:t>is l</w:t>
      </w:r>
      <w:r>
        <w:rPr>
          <w:rFonts w:ascii="Times New Roman" w:hAnsi="Times New Roman" w:cs="Times New Roman"/>
          <w:lang w:val="en-GB"/>
        </w:rPr>
        <w:t>inked to upgrading the grid</w:t>
      </w:r>
      <w:r w:rsidRPr="00702BC6">
        <w:rPr>
          <w:rFonts w:ascii="Times New Roman" w:hAnsi="Times New Roman" w:cs="Times New Roman"/>
          <w:lang w:val="en-GB"/>
        </w:rPr>
        <w:t>.</w:t>
      </w:r>
      <w:r>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r w:rsidRPr="00702BC6">
        <w:rPr>
          <w:rFonts w:ascii="Times New Roman" w:hAnsi="Times New Roman" w:cs="Times New Roman"/>
          <w:lang w:val="en-GB"/>
        </w:rPr>
        <w:t xml:space="preserve">For the other technologies </w:t>
      </w:r>
      <w:r>
        <w:rPr>
          <w:rFonts w:ascii="Times New Roman" w:hAnsi="Times New Roman" w:cs="Times New Roman"/>
          <w:lang w:val="en-GB"/>
        </w:rPr>
        <w:t>it is</w:t>
      </w:r>
      <w:r w:rsidRPr="00702BC6">
        <w:rPr>
          <w:rFonts w:ascii="Times New Roman" w:hAnsi="Times New Roman" w:cs="Times New Roman"/>
          <w:lang w:val="en-GB"/>
        </w:rPr>
        <w:t xml:space="preserve"> assumed that the location of the plant is more flexible (it is easier to adjust the location than for </w:t>
      </w:r>
      <w:r>
        <w:rPr>
          <w:rFonts w:ascii="Times New Roman" w:hAnsi="Times New Roman" w:cs="Times New Roman"/>
          <w:lang w:val="en-GB"/>
        </w:rPr>
        <w:t xml:space="preserve">a </w:t>
      </w:r>
      <w:r w:rsidRPr="00702BC6">
        <w:rPr>
          <w:rFonts w:ascii="Times New Roman" w:hAnsi="Times New Roman" w:cs="Times New Roman"/>
          <w:lang w:val="en-GB"/>
        </w:rPr>
        <w:t>wind</w:t>
      </w:r>
      <w:r>
        <w:rPr>
          <w:rFonts w:ascii="Times New Roman" w:hAnsi="Times New Roman" w:cs="Times New Roman"/>
          <w:lang w:val="en-GB"/>
        </w:rPr>
        <w:t xml:space="preserve"> power plant</w:t>
      </w:r>
      <w:r w:rsidRPr="00702BC6">
        <w:rPr>
          <w:rFonts w:ascii="Times New Roman" w:hAnsi="Times New Roman" w:cs="Times New Roman"/>
          <w:lang w:val="en-GB"/>
        </w:rPr>
        <w:t>)</w:t>
      </w:r>
      <w:r>
        <w:rPr>
          <w:rFonts w:ascii="Times New Roman" w:hAnsi="Times New Roman" w:cs="Times New Roman"/>
          <w:lang w:val="en-GB"/>
        </w:rPr>
        <w:t>. This is supported by figure 5 (from EIA 2012), which shows</w:t>
      </w:r>
      <w:r w:rsidRPr="005E5895">
        <w:rPr>
          <w:rFonts w:ascii="Times New Roman" w:hAnsi="Times New Roman" w:cs="Times New Roman"/>
          <w:lang w:val="en-GB"/>
        </w:rPr>
        <w:t xml:space="preserve"> different cost components in the </w:t>
      </w:r>
      <w:proofErr w:type="spellStart"/>
      <w:r w:rsidRPr="005E5895">
        <w:rPr>
          <w:rFonts w:ascii="Times New Roman" w:hAnsi="Times New Roman" w:cs="Times New Roman"/>
          <w:lang w:val="en-GB"/>
        </w:rPr>
        <w:t>levelised</w:t>
      </w:r>
      <w:proofErr w:type="spellEnd"/>
      <w:r w:rsidRPr="005E5895">
        <w:rPr>
          <w:rFonts w:ascii="Times New Roman" w:hAnsi="Times New Roman" w:cs="Times New Roman"/>
          <w:lang w:val="en-GB"/>
        </w:rPr>
        <w:t xml:space="preserve"> cost of new electric generating technologies in 2017. This gives an idea of the magnitude of this cost component </w:t>
      </w:r>
      <w:r>
        <w:rPr>
          <w:rFonts w:ascii="Times New Roman" w:hAnsi="Times New Roman" w:cs="Times New Roman"/>
          <w:lang w:val="en-GB"/>
        </w:rPr>
        <w:t>for</w:t>
      </w:r>
      <w:r w:rsidRPr="005E5895">
        <w:rPr>
          <w:rFonts w:ascii="Times New Roman" w:hAnsi="Times New Roman" w:cs="Times New Roman"/>
          <w:lang w:val="en-GB"/>
        </w:rPr>
        <w:t xml:space="preserve"> </w:t>
      </w:r>
      <w:r>
        <w:rPr>
          <w:rFonts w:ascii="Times New Roman" w:hAnsi="Times New Roman" w:cs="Times New Roman"/>
          <w:lang w:val="en-GB"/>
        </w:rPr>
        <w:t xml:space="preserve">different technologies and has been used to make assumptions for the remaining technologies. </w:t>
      </w:r>
    </w:p>
    <w:p w:rsidR="00EA0538" w:rsidRDefault="00EA0538" w:rsidP="00EA0538">
      <w:pPr>
        <w:rPr>
          <w:rFonts w:ascii="Times New Roman" w:hAnsi="Times New Roman" w:cs="Times New Roman"/>
          <w:b/>
          <w:sz w:val="20"/>
          <w:szCs w:val="20"/>
          <w:lang w:val="en-GB"/>
        </w:rPr>
      </w:pPr>
      <w:r w:rsidRPr="00DE05C4">
        <w:rPr>
          <w:rFonts w:ascii="Times New Roman" w:hAnsi="Times New Roman" w:cs="Times New Roman"/>
          <w:b/>
          <w:sz w:val="20"/>
          <w:szCs w:val="20"/>
          <w:lang w:val="en-GB"/>
        </w:rPr>
        <w:t xml:space="preserve">Figure </w:t>
      </w:r>
      <w:r>
        <w:rPr>
          <w:rFonts w:ascii="Times New Roman" w:hAnsi="Times New Roman" w:cs="Times New Roman"/>
          <w:b/>
          <w:sz w:val="20"/>
          <w:szCs w:val="20"/>
          <w:lang w:val="en-GB"/>
        </w:rPr>
        <w:t>5</w:t>
      </w:r>
      <w:r w:rsidRPr="00DE05C4">
        <w:rPr>
          <w:rFonts w:ascii="Times New Roman" w:hAnsi="Times New Roman" w:cs="Times New Roman"/>
          <w:b/>
          <w:sz w:val="20"/>
          <w:szCs w:val="20"/>
          <w:lang w:val="en-GB"/>
        </w:rPr>
        <w:t xml:space="preserve"> Estimated </w:t>
      </w:r>
      <w:proofErr w:type="spellStart"/>
      <w:r w:rsidRPr="00DE05C4">
        <w:rPr>
          <w:rFonts w:ascii="Times New Roman" w:hAnsi="Times New Roman" w:cs="Times New Roman"/>
          <w:b/>
          <w:sz w:val="20"/>
          <w:szCs w:val="20"/>
          <w:lang w:val="en-GB"/>
        </w:rPr>
        <w:t>levelized</w:t>
      </w:r>
      <w:proofErr w:type="spellEnd"/>
      <w:r w:rsidRPr="00DE05C4">
        <w:rPr>
          <w:rFonts w:ascii="Times New Roman" w:hAnsi="Times New Roman" w:cs="Times New Roman"/>
          <w:b/>
          <w:sz w:val="20"/>
          <w:szCs w:val="20"/>
          <w:lang w:val="en-GB"/>
        </w:rPr>
        <w:t xml:space="preserve"> costs of new electric generating technologies in 2017 (2010 $/</w:t>
      </w:r>
      <w:proofErr w:type="spellStart"/>
      <w:r w:rsidRPr="00DE05C4">
        <w:rPr>
          <w:rFonts w:ascii="Times New Roman" w:hAnsi="Times New Roman" w:cs="Times New Roman"/>
          <w:b/>
          <w:sz w:val="20"/>
          <w:szCs w:val="20"/>
          <w:lang w:val="en-GB"/>
        </w:rPr>
        <w:t>MWh</w:t>
      </w:r>
      <w:proofErr w:type="spellEnd"/>
      <w:r w:rsidRPr="00DE05C4">
        <w:rPr>
          <w:rFonts w:ascii="Times New Roman" w:hAnsi="Times New Roman" w:cs="Times New Roman"/>
          <w:b/>
          <w:sz w:val="20"/>
          <w:szCs w:val="20"/>
          <w:lang w:val="en-GB"/>
        </w:rPr>
        <w:t>)</w:t>
      </w:r>
      <w:r w:rsidRPr="005E5895">
        <w:rPr>
          <w:rFonts w:ascii="Times New Roman" w:hAnsi="Times New Roman" w:cs="Times New Roman"/>
          <w:noProof/>
        </w:rPr>
        <w:drawing>
          <wp:inline distT="0" distB="0" distL="0" distR="0" wp14:anchorId="39085D68" wp14:editId="10F43B2C">
            <wp:extent cx="3716121" cy="2713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mission_investment_costs_Technologies.png"/>
                    <pic:cNvPicPr/>
                  </pic:nvPicPr>
                  <pic:blipFill rotWithShape="1">
                    <a:blip r:embed="rId13">
                      <a:extLst>
                        <a:ext uri="{28A0092B-C50C-407E-A947-70E740481C1C}">
                          <a14:useLocalDpi xmlns:a14="http://schemas.microsoft.com/office/drawing/2010/main" val="0"/>
                        </a:ext>
                      </a:extLst>
                    </a:blip>
                    <a:srcRect t="14147" b="2020"/>
                    <a:stretch/>
                  </pic:blipFill>
                  <pic:spPr bwMode="auto">
                    <a:xfrm>
                      <a:off x="0" y="0"/>
                      <a:ext cx="3726701" cy="2721666"/>
                    </a:xfrm>
                    <a:prstGeom prst="rect">
                      <a:avLst/>
                    </a:prstGeom>
                    <a:ln>
                      <a:noFill/>
                    </a:ln>
                    <a:extLst>
                      <a:ext uri="{53640926-AAD7-44D8-BBD7-CCE9431645EC}">
                        <a14:shadowObscured xmlns:a14="http://schemas.microsoft.com/office/drawing/2010/main"/>
                      </a:ext>
                    </a:extLst>
                  </pic:spPr>
                </pic:pic>
              </a:graphicData>
            </a:graphic>
          </wp:inline>
        </w:drawing>
      </w:r>
    </w:p>
    <w:p w:rsidR="00EA0538" w:rsidRDefault="00EA0538" w:rsidP="00EA0538">
      <w:pPr>
        <w:rPr>
          <w:rFonts w:ascii="Times New Roman" w:hAnsi="Times New Roman" w:cs="Times New Roman"/>
          <w:lang w:val="en-GB"/>
        </w:rPr>
      </w:pPr>
    </w:p>
    <w:p w:rsidR="00EA0538" w:rsidRDefault="00EA0538" w:rsidP="00EA0538">
      <w:pPr>
        <w:rPr>
          <w:rFonts w:ascii="Times New Roman" w:hAnsi="Times New Roman" w:cs="Times New Roman"/>
          <w:lang w:val="en-GB"/>
        </w:rPr>
      </w:pPr>
      <w:r>
        <w:rPr>
          <w:rFonts w:ascii="Times New Roman" w:hAnsi="Times New Roman" w:cs="Times New Roman"/>
          <w:lang w:val="en-GB"/>
        </w:rPr>
        <w:lastRenderedPageBreak/>
        <w:t xml:space="preserve">In section 2.6.5 the marginal cost of grid connection in a country for a specific technology was specified </w:t>
      </w:r>
      <w:proofErr w:type="gramStart"/>
      <w:r>
        <w:rPr>
          <w:rFonts w:ascii="Times New Roman" w:hAnsi="Times New Roman" w:cs="Times New Roman"/>
          <w:lang w:val="en-GB"/>
        </w:rPr>
        <w:t xml:space="preserve">as </w:t>
      </w:r>
      <w:proofErr w:type="gramEnd"/>
      <w:r w:rsidRPr="00C13D6E">
        <w:rPr>
          <w:rFonts w:ascii="Times New Roman" w:hAnsi="Times New Roman" w:cs="Times New Roman"/>
          <w:position w:val="-10"/>
          <w:lang w:val="en-GB"/>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14" o:title=""/>
          </v:shape>
          <o:OLEObject Type="Embed" ProgID="Equation.DSMT4" ShapeID="_x0000_i1025" DrawAspect="Content" ObjectID="_1465389044" r:id="rId15"/>
        </w:object>
      </w:r>
      <w:r>
        <w:rPr>
          <w:rFonts w:ascii="Times New Roman" w:hAnsi="Times New Roman" w:cs="Times New Roman"/>
          <w:lang w:val="en-GB"/>
        </w:rPr>
        <w:t xml:space="preserve">, where </w:t>
      </w:r>
      <w:r w:rsidRPr="005333C2">
        <w:rPr>
          <w:rFonts w:ascii="Times New Roman" w:hAnsi="Times New Roman" w:cs="Times New Roman"/>
          <w:i/>
          <w:lang w:val="en-GB"/>
        </w:rPr>
        <w:t>p</w:t>
      </w:r>
      <w:r>
        <w:rPr>
          <w:rFonts w:ascii="Times New Roman" w:hAnsi="Times New Roman" w:cs="Times New Roman"/>
          <w:lang w:val="en-GB"/>
        </w:rPr>
        <w:t xml:space="preserve"> and </w:t>
      </w:r>
      <w:r w:rsidRPr="005333C2">
        <w:rPr>
          <w:rFonts w:ascii="Times New Roman" w:hAnsi="Times New Roman" w:cs="Times New Roman"/>
          <w:i/>
          <w:lang w:val="en-GB"/>
        </w:rPr>
        <w:t>q</w:t>
      </w:r>
      <w:r>
        <w:rPr>
          <w:rFonts w:ascii="Times New Roman" w:hAnsi="Times New Roman" w:cs="Times New Roman"/>
          <w:lang w:val="en-GB"/>
        </w:rPr>
        <w:t xml:space="preserve"> are parameters and </w:t>
      </w:r>
      <w:r w:rsidRPr="005333C2">
        <w:rPr>
          <w:rFonts w:ascii="Times New Roman" w:hAnsi="Times New Roman" w:cs="Times New Roman"/>
          <w:position w:val="-4"/>
          <w:lang w:val="en-GB"/>
        </w:rPr>
        <w:object w:dxaOrig="440" w:dyaOrig="300">
          <v:shape id="_x0000_i1026" type="#_x0000_t75" style="width:21.75pt;height:15pt" o:ole="">
            <v:imagedata r:id="rId16" o:title=""/>
          </v:shape>
          <o:OLEObject Type="Embed" ProgID="Equation.DSMT4" ShapeID="_x0000_i1026" DrawAspect="Content" ObjectID="_1465389045" r:id="rId17"/>
        </w:object>
      </w:r>
      <w:r>
        <w:rPr>
          <w:rFonts w:ascii="Times New Roman" w:hAnsi="Times New Roman" w:cs="Times New Roman"/>
          <w:lang w:val="en-GB"/>
        </w:rPr>
        <w:t xml:space="preserve"> is investment in a specific technology in a country. Both </w:t>
      </w:r>
      <w:r w:rsidRPr="005333C2">
        <w:rPr>
          <w:rFonts w:ascii="Times New Roman" w:hAnsi="Times New Roman" w:cs="Times New Roman"/>
          <w:i/>
          <w:lang w:val="en-GB"/>
        </w:rPr>
        <w:t>p</w:t>
      </w:r>
      <w:r>
        <w:rPr>
          <w:rFonts w:ascii="Times New Roman" w:hAnsi="Times New Roman" w:cs="Times New Roman"/>
          <w:i/>
          <w:lang w:val="en-GB"/>
        </w:rPr>
        <w:t xml:space="preserve"> </w:t>
      </w:r>
      <w:r>
        <w:rPr>
          <w:rFonts w:ascii="Times New Roman" w:hAnsi="Times New Roman" w:cs="Times New Roman"/>
          <w:lang w:val="en-GB"/>
        </w:rPr>
        <w:t xml:space="preserve">(cost of upgrading the grid) and </w:t>
      </w:r>
      <w:r w:rsidRPr="005333C2">
        <w:rPr>
          <w:rFonts w:ascii="Times New Roman" w:hAnsi="Times New Roman" w:cs="Times New Roman"/>
          <w:i/>
          <w:lang w:val="en-GB"/>
        </w:rPr>
        <w:t>q</w:t>
      </w:r>
      <w:r>
        <w:rPr>
          <w:rFonts w:ascii="Times New Roman" w:hAnsi="Times New Roman" w:cs="Times New Roman"/>
          <w:lang w:val="en-GB"/>
        </w:rPr>
        <w:t xml:space="preserve"> (cost of connecting to the grid) depend on technology, but in the model we have not distinguished between countries. The table below shows the parameter values used in the model. The q-parameter of hydro is zero because these costs are already included in the investment costs. </w:t>
      </w:r>
    </w:p>
    <w:p w:rsidR="00EA0538" w:rsidRPr="0081399A" w:rsidRDefault="00EA0538" w:rsidP="00EA0538">
      <w:pPr>
        <w:rPr>
          <w:rFonts w:ascii="Times New Roman" w:hAnsi="Times New Roman" w:cs="Times New Roman"/>
          <w:b/>
          <w:sz w:val="20"/>
          <w:szCs w:val="20"/>
          <w:lang w:val="en-GB"/>
        </w:rPr>
      </w:pPr>
      <w:r>
        <w:rPr>
          <w:rFonts w:ascii="Times New Roman" w:hAnsi="Times New Roman" w:cs="Times New Roman"/>
          <w:b/>
          <w:lang w:val="en-GB"/>
        </w:rPr>
        <w:br/>
      </w:r>
      <w:r w:rsidRPr="0081399A">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10</w:t>
      </w:r>
      <w:r w:rsidRPr="0081399A">
        <w:rPr>
          <w:rFonts w:ascii="Times New Roman" w:hAnsi="Times New Roman" w:cs="Times New Roman"/>
          <w:b/>
          <w:sz w:val="20"/>
          <w:szCs w:val="20"/>
          <w:lang w:val="en-GB"/>
        </w:rPr>
        <w:t xml:space="preserve"> Parameter values for grid connection</w:t>
      </w:r>
    </w:p>
    <w:tbl>
      <w:tblPr>
        <w:tblStyle w:val="LightShading-Accent1"/>
        <w:tblW w:w="0" w:type="auto"/>
        <w:tblLook w:val="04A0" w:firstRow="1" w:lastRow="0" w:firstColumn="1" w:lastColumn="0" w:noHBand="0" w:noVBand="1"/>
      </w:tblPr>
      <w:tblGrid>
        <w:gridCol w:w="2131"/>
        <w:gridCol w:w="2131"/>
        <w:gridCol w:w="2132"/>
      </w:tblGrid>
      <w:tr w:rsidR="00EA0538" w:rsidRPr="0081399A" w:rsidTr="005F303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31" w:type="dxa"/>
          </w:tcPr>
          <w:p w:rsidR="00EA0538" w:rsidRPr="0081399A" w:rsidRDefault="00EA0538" w:rsidP="005F3031">
            <w:pPr>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Technology</w:t>
            </w:r>
          </w:p>
        </w:tc>
        <w:tc>
          <w:tcPr>
            <w:tcW w:w="2131" w:type="dxa"/>
          </w:tcPr>
          <w:p w:rsidR="00EA0538" w:rsidRPr="0081399A"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p (M€/GW)</w:t>
            </w:r>
          </w:p>
        </w:tc>
        <w:tc>
          <w:tcPr>
            <w:tcW w:w="2132" w:type="dxa"/>
          </w:tcPr>
          <w:p w:rsidR="00EA0538" w:rsidRPr="0081399A"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q (M€/GW</w:t>
            </w:r>
            <w:r w:rsidRPr="0081399A">
              <w:rPr>
                <w:rFonts w:ascii="Times New Roman" w:hAnsi="Times New Roman" w:cs="Times New Roman"/>
                <w:b w:val="0"/>
                <w:sz w:val="20"/>
                <w:szCs w:val="20"/>
                <w:vertAlign w:val="superscript"/>
                <w:lang w:val="en-GB"/>
              </w:rPr>
              <w:t>2</w:t>
            </w:r>
            <w:r w:rsidRPr="0081399A">
              <w:rPr>
                <w:rFonts w:ascii="Times New Roman" w:hAnsi="Times New Roman" w:cs="Times New Roman"/>
                <w:b w:val="0"/>
                <w:sz w:val="20"/>
                <w:szCs w:val="20"/>
                <w:lang w:val="en-GB"/>
              </w:rPr>
              <w:t>)</w:t>
            </w:r>
          </w:p>
        </w:tc>
      </w:tr>
      <w:tr w:rsidR="00EA0538" w:rsidRPr="0081399A" w:rsidTr="005F30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31" w:type="dxa"/>
          </w:tcPr>
          <w:p w:rsidR="00EA0538" w:rsidRPr="0081399A" w:rsidRDefault="00EA0538" w:rsidP="005F3031">
            <w:pPr>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Hydro</w:t>
            </w:r>
          </w:p>
        </w:tc>
        <w:tc>
          <w:tcPr>
            <w:tcW w:w="2131" w:type="dxa"/>
          </w:tcPr>
          <w:p w:rsidR="00EA0538" w:rsidRPr="0081399A"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2.2</w:t>
            </w:r>
          </w:p>
        </w:tc>
        <w:tc>
          <w:tcPr>
            <w:tcW w:w="2132" w:type="dxa"/>
          </w:tcPr>
          <w:p w:rsidR="00EA0538" w:rsidRPr="0081399A"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0</w:t>
            </w:r>
          </w:p>
        </w:tc>
      </w:tr>
      <w:tr w:rsidR="00EA0538" w:rsidRPr="0081399A" w:rsidTr="005F3031">
        <w:trPr>
          <w:trHeight w:val="251"/>
        </w:trPr>
        <w:tc>
          <w:tcPr>
            <w:cnfStyle w:val="001000000000" w:firstRow="0" w:lastRow="0" w:firstColumn="1" w:lastColumn="0" w:oddVBand="0" w:evenVBand="0" w:oddHBand="0" w:evenHBand="0" w:firstRowFirstColumn="0" w:firstRowLastColumn="0" w:lastRowFirstColumn="0" w:lastRowLastColumn="0"/>
            <w:tcW w:w="2131" w:type="dxa"/>
          </w:tcPr>
          <w:p w:rsidR="00EA0538" w:rsidRPr="0081399A" w:rsidRDefault="00EA0538" w:rsidP="005F3031">
            <w:pPr>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Wind</w:t>
            </w:r>
          </w:p>
        </w:tc>
        <w:tc>
          <w:tcPr>
            <w:tcW w:w="2131" w:type="dxa"/>
          </w:tcPr>
          <w:p w:rsidR="00EA0538" w:rsidRPr="0081399A"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2.2</w:t>
            </w:r>
          </w:p>
        </w:tc>
        <w:tc>
          <w:tcPr>
            <w:tcW w:w="2132" w:type="dxa"/>
          </w:tcPr>
          <w:p w:rsidR="00EA0538" w:rsidRPr="0081399A"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36.1</w:t>
            </w:r>
          </w:p>
        </w:tc>
      </w:tr>
      <w:tr w:rsidR="00EA0538" w:rsidRPr="0081399A" w:rsidTr="005F303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131" w:type="dxa"/>
          </w:tcPr>
          <w:p w:rsidR="00EA0538" w:rsidRPr="0081399A" w:rsidRDefault="00EA0538" w:rsidP="005F3031">
            <w:pPr>
              <w:rPr>
                <w:rFonts w:ascii="Times New Roman" w:hAnsi="Times New Roman" w:cs="Times New Roman"/>
                <w:b w:val="0"/>
                <w:sz w:val="20"/>
                <w:szCs w:val="20"/>
                <w:lang w:val="en-GB"/>
              </w:rPr>
            </w:pPr>
            <w:r w:rsidRPr="0081399A">
              <w:rPr>
                <w:rFonts w:ascii="Times New Roman" w:hAnsi="Times New Roman" w:cs="Times New Roman"/>
                <w:b w:val="0"/>
                <w:sz w:val="20"/>
                <w:szCs w:val="20"/>
                <w:lang w:val="en-GB"/>
              </w:rPr>
              <w:t xml:space="preserve">All other </w:t>
            </w:r>
          </w:p>
        </w:tc>
        <w:tc>
          <w:tcPr>
            <w:tcW w:w="2131" w:type="dxa"/>
          </w:tcPr>
          <w:p w:rsidR="00EA0538" w:rsidRPr="0081399A"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2.2</w:t>
            </w:r>
          </w:p>
        </w:tc>
        <w:tc>
          <w:tcPr>
            <w:tcW w:w="2132" w:type="dxa"/>
          </w:tcPr>
          <w:p w:rsidR="00EA0538" w:rsidRPr="0081399A"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1399A">
              <w:rPr>
                <w:rFonts w:ascii="Times New Roman" w:hAnsi="Times New Roman" w:cs="Times New Roman"/>
                <w:sz w:val="20"/>
                <w:szCs w:val="20"/>
                <w:lang w:val="en-GB"/>
              </w:rPr>
              <w:t>12.0</w:t>
            </w:r>
          </w:p>
        </w:tc>
      </w:tr>
    </w:tbl>
    <w:p w:rsidR="00EA0538" w:rsidRDefault="00EA0538" w:rsidP="00EA0538">
      <w:pPr>
        <w:rPr>
          <w:rFonts w:ascii="Times New Roman" w:hAnsi="Times New Roman" w:cs="Times New Roman"/>
          <w:lang w:val="en-GB"/>
        </w:rPr>
      </w:pPr>
    </w:p>
    <w:p w:rsidR="00EA0538" w:rsidRDefault="00EA0538" w:rsidP="00EA0538">
      <w:pPr>
        <w:rPr>
          <w:rFonts w:ascii="Times New Roman" w:hAnsi="Times New Roman" w:cs="Times New Roman"/>
          <w:lang w:val="en-GB"/>
        </w:rPr>
      </w:pPr>
    </w:p>
    <w:p w:rsidR="00EA0538" w:rsidRPr="00085FA6" w:rsidRDefault="00EA0538" w:rsidP="00EA0538">
      <w:pPr>
        <w:pStyle w:val="Heading2"/>
        <w:jc w:val="both"/>
        <w:rPr>
          <w:rFonts w:ascii="Times New Roman" w:hAnsi="Times New Roman" w:cs="Times New Roman"/>
          <w:lang w:val="en-GB"/>
        </w:rPr>
      </w:pPr>
      <w:bookmarkStart w:id="25" w:name="_Toc386631737"/>
      <w:r w:rsidRPr="00085FA6">
        <w:rPr>
          <w:rFonts w:ascii="Times New Roman" w:hAnsi="Times New Roman" w:cs="Times New Roman"/>
          <w:lang w:val="en-GB"/>
        </w:rPr>
        <w:t xml:space="preserve">3.5. </w:t>
      </w:r>
      <w:r>
        <w:rPr>
          <w:rFonts w:ascii="Times New Roman" w:hAnsi="Times New Roman" w:cs="Times New Roman"/>
          <w:lang w:val="en-GB"/>
        </w:rPr>
        <w:t>International energy trade</w:t>
      </w:r>
      <w:bookmarkEnd w:id="25"/>
      <w:r w:rsidRPr="00085FA6">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In the model we separate between energy goods that are traded on a world market and those that are traded between pairs of model countries. Electricity and natural gas can be traded between countries through international transmission lines and cables (electricity) or pipelines (natural gas). Biomass can be traded between pairs of countries. </w:t>
      </w:r>
      <w:r>
        <w:rPr>
          <w:rFonts w:ascii="Times New Roman" w:hAnsi="Times New Roman" w:cs="Times New Roman"/>
          <w:lang w:val="en-GB"/>
        </w:rPr>
        <w:t>C</w:t>
      </w:r>
      <w:r w:rsidRPr="00085FA6">
        <w:rPr>
          <w:rFonts w:ascii="Times New Roman" w:hAnsi="Times New Roman" w:cs="Times New Roman"/>
          <w:lang w:val="en-GB"/>
        </w:rPr>
        <w:t xml:space="preserve">oal, biofuels and oil </w:t>
      </w:r>
      <w:r>
        <w:rPr>
          <w:rFonts w:ascii="Times New Roman" w:hAnsi="Times New Roman" w:cs="Times New Roman"/>
          <w:lang w:val="en-GB"/>
        </w:rPr>
        <w:t>is traded on</w:t>
      </w:r>
      <w:r w:rsidRPr="00085FA6">
        <w:rPr>
          <w:rFonts w:ascii="Times New Roman" w:hAnsi="Times New Roman" w:cs="Times New Roman"/>
          <w:lang w:val="en-GB"/>
        </w:rPr>
        <w:t xml:space="preserve"> world markets and </w:t>
      </w:r>
      <w:r>
        <w:rPr>
          <w:rFonts w:ascii="Times New Roman" w:hAnsi="Times New Roman" w:cs="Times New Roman"/>
          <w:lang w:val="en-GB"/>
        </w:rPr>
        <w:t>trade bet</w:t>
      </w:r>
      <w:r w:rsidRPr="00085FA6">
        <w:rPr>
          <w:rFonts w:ascii="Times New Roman" w:hAnsi="Times New Roman" w:cs="Times New Roman"/>
          <w:lang w:val="en-GB"/>
        </w:rPr>
        <w:t xml:space="preserve">ween the model countries </w:t>
      </w:r>
      <w:r>
        <w:rPr>
          <w:rFonts w:ascii="Times New Roman" w:hAnsi="Times New Roman" w:cs="Times New Roman"/>
          <w:lang w:val="en-GB"/>
        </w:rPr>
        <w:t xml:space="preserve">is not modelled </w:t>
      </w:r>
      <w:r w:rsidRPr="00085FA6">
        <w:rPr>
          <w:rFonts w:ascii="Times New Roman" w:hAnsi="Times New Roman" w:cs="Times New Roman"/>
          <w:lang w:val="en-GB"/>
        </w:rPr>
        <w:t xml:space="preserve">explicitly. </w:t>
      </w:r>
      <w:r>
        <w:rPr>
          <w:rFonts w:ascii="Times New Roman" w:hAnsi="Times New Roman" w:cs="Times New Roman"/>
          <w:lang w:val="en-GB"/>
        </w:rPr>
        <w:t>It is assumed</w:t>
      </w:r>
      <w:r w:rsidRPr="00085FA6">
        <w:rPr>
          <w:rFonts w:ascii="Times New Roman" w:hAnsi="Times New Roman" w:cs="Times New Roman"/>
          <w:lang w:val="en-GB"/>
        </w:rPr>
        <w:t xml:space="preserve"> that each model country has a central node and that international trade takes place between these.</w:t>
      </w:r>
      <w:r>
        <w:rPr>
          <w:rFonts w:ascii="Times New Roman" w:hAnsi="Times New Roman" w:cs="Times New Roman"/>
          <w:lang w:val="en-GB"/>
        </w:rPr>
        <w:t xml:space="preserve"> </w:t>
      </w:r>
    </w:p>
    <w:p w:rsidR="00EA0538" w:rsidRPr="00085FA6" w:rsidRDefault="00EA0538" w:rsidP="00EA0538">
      <w:pPr>
        <w:jc w:val="both"/>
        <w:rPr>
          <w:rFonts w:ascii="Times New Roman" w:eastAsia="Times New Roman" w:hAnsi="Times New Roman" w:cs="Times New Roman"/>
          <w:lang w:val="en-GB"/>
        </w:rPr>
      </w:pPr>
      <w:r w:rsidRPr="00085FA6">
        <w:rPr>
          <w:rFonts w:ascii="Times New Roman" w:eastAsia="Times New Roman" w:hAnsi="Times New Roman" w:cs="Times New Roman"/>
          <w:lang w:val="en-GB"/>
        </w:rPr>
        <w:t>T</w:t>
      </w:r>
      <w:r>
        <w:rPr>
          <w:rFonts w:ascii="Times New Roman" w:eastAsia="Times New Roman" w:hAnsi="Times New Roman" w:cs="Times New Roman"/>
          <w:lang w:val="en-GB"/>
        </w:rPr>
        <w:t xml:space="preserve">he </w:t>
      </w:r>
      <w:r w:rsidRPr="00085FA6">
        <w:rPr>
          <w:rFonts w:ascii="Times New Roman" w:eastAsia="Times New Roman" w:hAnsi="Times New Roman" w:cs="Times New Roman"/>
          <w:lang w:val="en-GB"/>
        </w:rPr>
        <w:t xml:space="preserve">international transportation cost for steam coal </w:t>
      </w:r>
      <w:r>
        <w:rPr>
          <w:rFonts w:ascii="Times New Roman" w:eastAsia="Times New Roman" w:hAnsi="Times New Roman" w:cs="Times New Roman"/>
          <w:lang w:val="en-GB"/>
        </w:rPr>
        <w:t>is found using</w:t>
      </w:r>
      <w:r w:rsidRPr="00085FA6">
        <w:rPr>
          <w:rFonts w:ascii="Times New Roman" w:eastAsia="Times New Roman" w:hAnsi="Times New Roman" w:cs="Times New Roman"/>
          <w:lang w:val="en-GB"/>
        </w:rPr>
        <w:t xml:space="preserve"> import prices for steam coal to the model countries reported in Energy Prices and Taxes (IEA 2011) and the production costs reported by countries exporting steam coal to Europe (Medium-Term Coal Market report, IEA 2011). For coking coal the main suppliers of imports to Europe are Australia and the United States (IEA Medium-Term Coal Market report 2012). </w:t>
      </w:r>
      <w:r>
        <w:rPr>
          <w:rFonts w:ascii="Times New Roman" w:eastAsia="Times New Roman" w:hAnsi="Times New Roman" w:cs="Times New Roman"/>
          <w:lang w:val="en-GB"/>
        </w:rPr>
        <w:t>Import</w:t>
      </w:r>
      <w:r w:rsidRPr="00085FA6">
        <w:rPr>
          <w:rFonts w:ascii="Times New Roman" w:eastAsia="Times New Roman" w:hAnsi="Times New Roman" w:cs="Times New Roman"/>
          <w:lang w:val="en-GB"/>
        </w:rPr>
        <w:t xml:space="preserve"> prices for coking coal reported by the IEA (Energy Prices and Taxes 2011) and export values</w:t>
      </w:r>
      <w:r w:rsidRPr="00085FA6">
        <w:rPr>
          <w:rStyle w:val="FootnoteReference"/>
          <w:rFonts w:ascii="Times New Roman" w:eastAsia="Times New Roman" w:hAnsi="Times New Roman" w:cs="Times New Roman"/>
          <w:lang w:val="en-GB"/>
        </w:rPr>
        <w:footnoteReference w:id="39"/>
      </w:r>
      <w:r w:rsidRPr="00085FA6">
        <w:rPr>
          <w:rFonts w:ascii="Times New Roman" w:eastAsia="Times New Roman" w:hAnsi="Times New Roman" w:cs="Times New Roman"/>
          <w:lang w:val="en-GB"/>
        </w:rPr>
        <w:t xml:space="preserve"> for 2009 reported by Australia and the United States (EIA 2010) </w:t>
      </w:r>
      <w:r>
        <w:rPr>
          <w:rFonts w:ascii="Times New Roman" w:eastAsia="Times New Roman" w:hAnsi="Times New Roman" w:cs="Times New Roman"/>
          <w:lang w:val="en-GB"/>
        </w:rPr>
        <w:t>are used</w:t>
      </w:r>
      <w:r w:rsidRPr="00085FA6">
        <w:rPr>
          <w:rFonts w:ascii="Times New Roman" w:eastAsia="Times New Roman" w:hAnsi="Times New Roman" w:cs="Times New Roman"/>
          <w:lang w:val="en-GB"/>
        </w:rPr>
        <w:t xml:space="preserve">. </w:t>
      </w:r>
    </w:p>
    <w:p w:rsidR="00EA0538" w:rsidRDefault="00EA0538" w:rsidP="00EA0538">
      <w:pPr>
        <w:jc w:val="both"/>
        <w:rPr>
          <w:rFonts w:ascii="Times New Roman" w:eastAsia="Times New Roman" w:hAnsi="Times New Roman" w:cs="Times New Roman"/>
          <w:lang w:val="en-GB"/>
        </w:rPr>
      </w:pPr>
      <w:r w:rsidRPr="00085FA6">
        <w:rPr>
          <w:rFonts w:ascii="Times New Roman" w:eastAsia="Times New Roman" w:hAnsi="Times New Roman" w:cs="Times New Roman"/>
          <w:lang w:val="en-GB"/>
        </w:rPr>
        <w:t xml:space="preserve">The domestic distribution costs for steam coal and coking coal are calculated as the difference between end-user prices before tax and the import prices. The import prices and end-user prices are from IEA Energy Prices and Taxes (2011). This publication does not have a complete set of prices for </w:t>
      </w:r>
      <w:r>
        <w:rPr>
          <w:rFonts w:ascii="Times New Roman" w:eastAsia="Times New Roman" w:hAnsi="Times New Roman" w:cs="Times New Roman"/>
          <w:lang w:val="en-GB"/>
        </w:rPr>
        <w:t>the</w:t>
      </w:r>
      <w:r w:rsidRPr="00085FA6">
        <w:rPr>
          <w:rFonts w:ascii="Times New Roman" w:eastAsia="Times New Roman" w:hAnsi="Times New Roman" w:cs="Times New Roman"/>
          <w:lang w:val="en-GB"/>
        </w:rPr>
        <w:t xml:space="preserve"> model countries, so </w:t>
      </w:r>
      <w:r>
        <w:rPr>
          <w:rFonts w:ascii="Times New Roman" w:eastAsia="Times New Roman" w:hAnsi="Times New Roman" w:cs="Times New Roman"/>
          <w:lang w:val="en-GB"/>
        </w:rPr>
        <w:t>own</w:t>
      </w:r>
      <w:r w:rsidRPr="00085FA6">
        <w:rPr>
          <w:rFonts w:ascii="Times New Roman" w:eastAsia="Times New Roman" w:hAnsi="Times New Roman" w:cs="Times New Roman"/>
          <w:lang w:val="en-GB"/>
        </w:rPr>
        <w:t xml:space="preserve"> assumptions have been made for the countries were prices are not reported. </w:t>
      </w:r>
    </w:p>
    <w:p w:rsidR="00EA0538" w:rsidRPr="00085FA6" w:rsidRDefault="00EA0538" w:rsidP="00EA0538">
      <w:pPr>
        <w:jc w:val="both"/>
        <w:rPr>
          <w:rFonts w:ascii="Times New Roman" w:eastAsia="Times New Roman" w:hAnsi="Times New Roman" w:cs="Times New Roman"/>
          <w:lang w:val="en-GB"/>
        </w:rPr>
      </w:pPr>
      <w:r w:rsidRPr="00085FA6">
        <w:rPr>
          <w:rFonts w:ascii="Times New Roman" w:eastAsia="Times New Roman" w:hAnsi="Times New Roman" w:cs="Times New Roman"/>
          <w:lang w:val="en-GB"/>
        </w:rPr>
        <w:t xml:space="preserve">For oil and biofuels </w:t>
      </w:r>
      <w:r>
        <w:rPr>
          <w:rFonts w:ascii="Times New Roman" w:eastAsia="Times New Roman" w:hAnsi="Times New Roman" w:cs="Times New Roman"/>
          <w:lang w:val="en-GB"/>
        </w:rPr>
        <w:t>the</w:t>
      </w:r>
      <w:r w:rsidRPr="00085FA6">
        <w:rPr>
          <w:rFonts w:ascii="Times New Roman" w:eastAsia="Times New Roman" w:hAnsi="Times New Roman" w:cs="Times New Roman"/>
          <w:lang w:val="en-GB"/>
        </w:rPr>
        <w:t xml:space="preserve"> spot price for Europe</w:t>
      </w:r>
      <w:r>
        <w:rPr>
          <w:rFonts w:ascii="Times New Roman" w:eastAsia="Times New Roman" w:hAnsi="Times New Roman" w:cs="Times New Roman"/>
          <w:lang w:val="en-GB"/>
        </w:rPr>
        <w:t xml:space="preserve"> in 2009 has been used (IEA 2011)</w:t>
      </w:r>
      <w:r w:rsidRPr="00085FA6">
        <w:rPr>
          <w:rFonts w:ascii="Times New Roman" w:eastAsia="Times New Roman" w:hAnsi="Times New Roman" w:cs="Times New Roman"/>
          <w:lang w:val="en-GB"/>
        </w:rPr>
        <w:t xml:space="preserve">. The transportation and distribution costs for each country have been calculated by taking the difference between end-user prices (exclusive of taxes) and the European spot price. </w:t>
      </w:r>
    </w:p>
    <w:p w:rsidR="00EA0538" w:rsidRPr="00085FA6" w:rsidRDefault="00EA0538" w:rsidP="00EA0538">
      <w:pPr>
        <w:jc w:val="both"/>
        <w:rPr>
          <w:rFonts w:ascii="Times New Roman" w:eastAsia="Times New Roman" w:hAnsi="Times New Roman" w:cs="Times New Roman"/>
          <w:lang w:val="en-GB"/>
        </w:rPr>
      </w:pPr>
    </w:p>
    <w:p w:rsidR="00EA0538" w:rsidRDefault="00EA0538" w:rsidP="00EA0538">
      <w:pPr>
        <w:pStyle w:val="Heading3"/>
        <w:rPr>
          <w:lang w:val="en-GB"/>
        </w:rPr>
      </w:pPr>
      <w:bookmarkStart w:id="26" w:name="_Toc386631738"/>
      <w:r>
        <w:rPr>
          <w:lang w:val="en-GB"/>
        </w:rPr>
        <w:t>3.5.1 Biomass</w:t>
      </w:r>
      <w:bookmarkEnd w:id="26"/>
    </w:p>
    <w:p w:rsidR="00EA0538" w:rsidRDefault="00EA0538" w:rsidP="00EA0538">
      <w:pPr>
        <w:jc w:val="both"/>
        <w:rPr>
          <w:rFonts w:ascii="Times New Roman" w:hAnsi="Times New Roman" w:cs="Times New Roman"/>
          <w:lang w:val="en-GB"/>
        </w:rPr>
      </w:pPr>
      <w:r>
        <w:rPr>
          <w:rFonts w:ascii="Times New Roman" w:hAnsi="Times New Roman" w:cs="Times New Roman"/>
          <w:lang w:val="en-GB"/>
        </w:rPr>
        <w:t>Biomass is</w:t>
      </w:r>
      <w:r w:rsidRPr="00085FA6">
        <w:rPr>
          <w:rFonts w:ascii="Times New Roman" w:hAnsi="Times New Roman" w:cs="Times New Roman"/>
          <w:lang w:val="en-GB"/>
        </w:rPr>
        <w:t xml:space="preserve"> trade</w:t>
      </w:r>
      <w:r>
        <w:rPr>
          <w:rFonts w:ascii="Times New Roman" w:hAnsi="Times New Roman" w:cs="Times New Roman"/>
          <w:lang w:val="en-GB"/>
        </w:rPr>
        <w:t>d</w:t>
      </w:r>
      <w:r w:rsidRPr="00085FA6">
        <w:rPr>
          <w:rFonts w:ascii="Times New Roman" w:hAnsi="Times New Roman" w:cs="Times New Roman"/>
          <w:lang w:val="en-GB"/>
        </w:rPr>
        <w:t xml:space="preserve"> between pairs of model countries, based on the trade patterns in the base year 2009. </w:t>
      </w:r>
      <w:r>
        <w:rPr>
          <w:rFonts w:ascii="Times New Roman" w:hAnsi="Times New Roman" w:cs="Times New Roman"/>
          <w:lang w:val="en-GB"/>
        </w:rPr>
        <w:t xml:space="preserve">Trade can only take place between neighbouring countries and the consumption nodes are used in the same way as for electricity (see figure 3). </w:t>
      </w:r>
      <w:r w:rsidRPr="00085FA6">
        <w:rPr>
          <w:rFonts w:ascii="Times New Roman" w:hAnsi="Times New Roman" w:cs="Times New Roman"/>
          <w:lang w:val="en-GB"/>
        </w:rPr>
        <w:t xml:space="preserve">IEA Extended Energy Balances </w:t>
      </w:r>
      <w:r>
        <w:rPr>
          <w:rFonts w:ascii="Times New Roman" w:hAnsi="Times New Roman" w:cs="Times New Roman"/>
          <w:lang w:val="en-GB"/>
        </w:rPr>
        <w:t>has</w:t>
      </w:r>
      <w:r w:rsidRPr="00085FA6">
        <w:rPr>
          <w:rFonts w:ascii="Times New Roman" w:hAnsi="Times New Roman" w:cs="Times New Roman"/>
          <w:lang w:val="en-GB"/>
        </w:rPr>
        <w:t xml:space="preserve"> information about each country’s import and export of biomass, but this does not show trade patterns between countries. Generally there are some data limitations when it comes to biomass and it has not been possible to find a complete data set for biomass trade in Europe. However, as of 2009 Eurostat has recorded wood pellets trade in Europe. Because wood pellets currently is the main traded commodity of solid biofuels (</w:t>
      </w:r>
      <w:proofErr w:type="spellStart"/>
      <w:r w:rsidRPr="00085FA6">
        <w:rPr>
          <w:rFonts w:ascii="Times New Roman" w:hAnsi="Times New Roman" w:cs="Times New Roman"/>
          <w:lang w:val="en-GB"/>
        </w:rPr>
        <w:t>Hoefnagels</w:t>
      </w:r>
      <w:proofErr w:type="spellEnd"/>
      <w:r w:rsidRPr="00085FA6">
        <w:rPr>
          <w:rFonts w:ascii="Times New Roman" w:hAnsi="Times New Roman" w:cs="Times New Roman"/>
          <w:lang w:val="en-GB"/>
        </w:rPr>
        <w:t xml:space="preserve"> 2011), the pellets trade flows from Eurostat </w:t>
      </w:r>
      <w:r>
        <w:rPr>
          <w:rFonts w:ascii="Times New Roman" w:hAnsi="Times New Roman" w:cs="Times New Roman"/>
          <w:lang w:val="en-GB"/>
        </w:rPr>
        <w:t xml:space="preserve">have been used </w:t>
      </w:r>
      <w:r w:rsidRPr="00085FA6">
        <w:rPr>
          <w:rFonts w:ascii="Times New Roman" w:hAnsi="Times New Roman" w:cs="Times New Roman"/>
          <w:lang w:val="en-GB"/>
        </w:rPr>
        <w:t xml:space="preserve">to allocate the IEA data on import and export of biomass in the base year. This </w:t>
      </w:r>
      <w:r>
        <w:rPr>
          <w:rFonts w:ascii="Times New Roman" w:hAnsi="Times New Roman" w:cs="Times New Roman"/>
          <w:lang w:val="en-GB"/>
        </w:rPr>
        <w:t>provides a</w:t>
      </w:r>
      <w:r w:rsidRPr="00085FA6">
        <w:rPr>
          <w:rFonts w:ascii="Times New Roman" w:hAnsi="Times New Roman" w:cs="Times New Roman"/>
          <w:lang w:val="en-GB"/>
        </w:rPr>
        <w:t xml:space="preserve"> dataset with trade flows between the model countries for biomass. </w:t>
      </w:r>
    </w:p>
    <w:p w:rsidR="00EA0538" w:rsidRDefault="00EA0538" w:rsidP="00EA0538">
      <w:pPr>
        <w:jc w:val="both"/>
        <w:rPr>
          <w:rFonts w:ascii="Times New Roman" w:hAnsi="Times New Roman" w:cs="Times New Roman"/>
          <w:lang w:val="en-GB"/>
        </w:rPr>
      </w:pPr>
      <w:r w:rsidRPr="00085FA6">
        <w:rPr>
          <w:rFonts w:ascii="Times New Roman" w:eastAsia="Times New Roman" w:hAnsi="Times New Roman" w:cs="Times New Roman"/>
          <w:lang w:val="en-GB"/>
        </w:rPr>
        <w:lastRenderedPageBreak/>
        <w:t xml:space="preserve">The cost of international transportation of biomass is based on the cost of transporting wood pellets </w:t>
      </w:r>
      <w:r>
        <w:rPr>
          <w:rFonts w:ascii="Times New Roman" w:eastAsia="Times New Roman" w:hAnsi="Times New Roman" w:cs="Times New Roman"/>
          <w:lang w:val="en-GB"/>
        </w:rPr>
        <w:t xml:space="preserve">by truck </w:t>
      </w:r>
      <w:r w:rsidRPr="00085FA6">
        <w:rPr>
          <w:rFonts w:ascii="Times New Roman" w:eastAsia="Times New Roman" w:hAnsi="Times New Roman" w:cs="Times New Roman"/>
          <w:lang w:val="en-GB"/>
        </w:rPr>
        <w:t xml:space="preserve">per kilometre within Europe </w:t>
      </w:r>
      <w:r>
        <w:rPr>
          <w:rFonts w:ascii="Times New Roman" w:eastAsia="Times New Roman" w:hAnsi="Times New Roman" w:cs="Times New Roman"/>
          <w:lang w:val="en-GB"/>
        </w:rPr>
        <w:t>(</w:t>
      </w:r>
      <w:proofErr w:type="spellStart"/>
      <w:r w:rsidRPr="00085FA6">
        <w:rPr>
          <w:rFonts w:ascii="Times New Roman" w:eastAsia="Times New Roman" w:hAnsi="Times New Roman" w:cs="Times New Roman"/>
          <w:lang w:val="en-GB"/>
        </w:rPr>
        <w:t>Hoefnagels</w:t>
      </w:r>
      <w:proofErr w:type="spellEnd"/>
      <w:r w:rsidRPr="00085FA6">
        <w:rPr>
          <w:rFonts w:ascii="Times New Roman" w:eastAsia="Times New Roman" w:hAnsi="Times New Roman" w:cs="Times New Roman"/>
          <w:lang w:val="en-GB"/>
        </w:rPr>
        <w:t xml:space="preserve"> et al. 2011)</w:t>
      </w:r>
      <w:r w:rsidRPr="008A6800">
        <w:rPr>
          <w:rStyle w:val="FootnoteReference"/>
          <w:rFonts w:ascii="Times New Roman" w:eastAsia="Times New Roman" w:hAnsi="Times New Roman" w:cs="Times New Roman"/>
          <w:lang w:val="en-GB"/>
        </w:rPr>
        <w:t xml:space="preserve"> </w:t>
      </w:r>
      <w:r w:rsidRPr="00085FA6">
        <w:rPr>
          <w:rStyle w:val="FootnoteReference"/>
          <w:rFonts w:ascii="Times New Roman" w:eastAsia="Times New Roman" w:hAnsi="Times New Roman" w:cs="Times New Roman"/>
          <w:lang w:val="en-GB"/>
        </w:rPr>
        <w:footnoteReference w:id="40"/>
      </w:r>
      <w:r w:rsidRPr="00085FA6">
        <w:rPr>
          <w:rFonts w:ascii="Times New Roman" w:eastAsia="Times New Roman" w:hAnsi="Times New Roman" w:cs="Times New Roman"/>
          <w:lang w:val="en-GB"/>
        </w:rPr>
        <w:t xml:space="preserve">  and the distances between the nodes in the model countries. </w:t>
      </w:r>
      <w:proofErr w:type="spellStart"/>
      <w:r>
        <w:rPr>
          <w:rFonts w:ascii="Times New Roman" w:eastAsia="Times New Roman" w:hAnsi="Times New Roman" w:cs="Times New Roman"/>
          <w:lang w:val="en-GB"/>
        </w:rPr>
        <w:t>Hoefnagels</w:t>
      </w:r>
      <w:proofErr w:type="spellEnd"/>
      <w:r>
        <w:rPr>
          <w:rFonts w:ascii="Times New Roman" w:eastAsia="Times New Roman" w:hAnsi="Times New Roman" w:cs="Times New Roman"/>
          <w:lang w:val="en-GB"/>
        </w:rPr>
        <w:t xml:space="preserve"> et al. (2011)</w:t>
      </w:r>
      <w:r w:rsidRPr="00085FA6">
        <w:rPr>
          <w:rFonts w:ascii="Times New Roman" w:eastAsia="Times New Roman" w:hAnsi="Times New Roman" w:cs="Times New Roman"/>
          <w:lang w:val="en-GB"/>
        </w:rPr>
        <w:t xml:space="preserve"> estimate the cost to be 16 €/tonne</w:t>
      </w:r>
      <w:r>
        <w:rPr>
          <w:rFonts w:ascii="Times New Roman" w:eastAsia="Times New Roman" w:hAnsi="Times New Roman" w:cs="Times New Roman"/>
          <w:lang w:val="en-GB"/>
        </w:rPr>
        <w:t xml:space="preserve"> per 200 km</w:t>
      </w:r>
      <w:r w:rsidRPr="00085FA6">
        <w:rPr>
          <w:rFonts w:ascii="Times New Roman" w:eastAsia="Times New Roman" w:hAnsi="Times New Roman" w:cs="Times New Roman"/>
          <w:lang w:val="en-GB"/>
        </w:rPr>
        <w:t xml:space="preserve">.  The distribution costs are calculated based on the difference between the end-user prices in each sector (exclusive of taxes) and the production costs in each country node. </w:t>
      </w:r>
    </w:p>
    <w:p w:rsidR="00EA0538" w:rsidRDefault="00EA0538" w:rsidP="00EA0538">
      <w:pPr>
        <w:pStyle w:val="Heading3"/>
        <w:jc w:val="both"/>
        <w:rPr>
          <w:rFonts w:ascii="Times New Roman" w:hAnsi="Times New Roman" w:cs="Times New Roman"/>
          <w:lang w:val="en-GB"/>
        </w:rPr>
      </w:pPr>
      <w:r>
        <w:rPr>
          <w:rFonts w:ascii="Times New Roman" w:eastAsiaTheme="minorEastAsia" w:hAnsi="Times New Roman" w:cs="Times New Roman"/>
          <w:b w:val="0"/>
          <w:bCs w:val="0"/>
          <w:color w:val="auto"/>
          <w:lang w:val="en-GB"/>
        </w:rPr>
        <w:br/>
      </w:r>
      <w:bookmarkStart w:id="27" w:name="_Toc386631739"/>
      <w:r w:rsidRPr="00085FA6">
        <w:rPr>
          <w:rFonts w:ascii="Times New Roman" w:hAnsi="Times New Roman" w:cs="Times New Roman"/>
          <w:lang w:val="en-GB"/>
        </w:rPr>
        <w:t>3.</w:t>
      </w:r>
      <w:r>
        <w:rPr>
          <w:rFonts w:ascii="Times New Roman" w:hAnsi="Times New Roman" w:cs="Times New Roman"/>
          <w:lang w:val="en-GB"/>
        </w:rPr>
        <w:t>5.2</w:t>
      </w:r>
      <w:r w:rsidRPr="00085FA6">
        <w:rPr>
          <w:rFonts w:ascii="Times New Roman" w:hAnsi="Times New Roman" w:cs="Times New Roman"/>
          <w:lang w:val="en-GB"/>
        </w:rPr>
        <w:t xml:space="preserve"> Natural gas</w:t>
      </w:r>
      <w:bookmarkEnd w:id="27"/>
    </w:p>
    <w:p w:rsidR="00EA0538" w:rsidRDefault="00EA0538" w:rsidP="00EA0538">
      <w:pPr>
        <w:jc w:val="both"/>
        <w:rPr>
          <w:rFonts w:ascii="Times New Roman" w:hAnsi="Times New Roman" w:cs="Times New Roman"/>
          <w:lang w:val="en-GB"/>
        </w:rPr>
      </w:pPr>
      <w:r>
        <w:rPr>
          <w:rFonts w:ascii="Times New Roman" w:hAnsi="Times New Roman" w:cs="Times New Roman"/>
          <w:lang w:val="en-GB"/>
        </w:rPr>
        <w:t xml:space="preserve">The natural gas producing countries have a production node and a consumption node. The gas has to be transported from a country’s production node to the consumption node before it can be traded. The only exemption is Norway where the gas can be transported directly from the production node in the North Sea to the consumption nodes of the receiving countries (in line with current pipeline structures). In figure 2 the production nodes are marked in black and the consumption nodes in grey (for details on Russian gas see chapter 3.7.10). Countries that are not connected cannot trade directly. </w:t>
      </w:r>
    </w:p>
    <w:p w:rsidR="00EA0538" w:rsidRPr="0017598C" w:rsidRDefault="00EA0538" w:rsidP="00EA0538">
      <w:pPr>
        <w:spacing w:after="0"/>
        <w:jc w:val="both"/>
        <w:rPr>
          <w:rFonts w:ascii="Times New Roman" w:hAnsi="Times New Roman" w:cs="Times New Roman"/>
          <w:b/>
          <w:sz w:val="20"/>
          <w:szCs w:val="20"/>
          <w:lang w:val="en-GB"/>
        </w:rPr>
      </w:pPr>
      <w:r>
        <w:rPr>
          <w:rFonts w:ascii="Times New Roman" w:hAnsi="Times New Roman" w:cs="Times New Roman"/>
          <w:b/>
          <w:sz w:val="20"/>
          <w:szCs w:val="20"/>
          <w:lang w:val="en-GB"/>
        </w:rPr>
        <w:t>Figure 2</w:t>
      </w:r>
      <w:r w:rsidRPr="0017598C">
        <w:rPr>
          <w:rFonts w:ascii="Times New Roman" w:hAnsi="Times New Roman" w:cs="Times New Roman"/>
          <w:b/>
          <w:sz w:val="20"/>
          <w:szCs w:val="20"/>
          <w:lang w:val="en-GB"/>
        </w:rPr>
        <w:t xml:space="preserve"> Country nodes for natural gas trade</w:t>
      </w:r>
    </w:p>
    <w:p w:rsidR="00EA0538" w:rsidRPr="0017598C" w:rsidRDefault="00EA0538" w:rsidP="00EA0538">
      <w:pPr>
        <w:jc w:val="both"/>
        <w:rPr>
          <w:rFonts w:ascii="Times New Roman" w:hAnsi="Times New Roman" w:cs="Times New Roman"/>
          <w:b/>
          <w:lang w:val="en-GB"/>
        </w:rPr>
      </w:pPr>
      <w:r>
        <w:rPr>
          <w:rFonts w:ascii="Times New Roman" w:hAnsi="Times New Roman" w:cs="Times New Roman"/>
          <w:noProof/>
        </w:rPr>
        <w:drawing>
          <wp:inline distT="0" distB="0" distL="0" distR="0" wp14:anchorId="423C023E" wp14:editId="132ED5C0">
            <wp:extent cx="6645910" cy="55384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europe_gas.png"/>
                    <pic:cNvPicPr/>
                  </pic:nvPicPr>
                  <pic:blipFill>
                    <a:blip r:embed="rId18">
                      <a:extLst>
                        <a:ext uri="{28A0092B-C50C-407E-A947-70E740481C1C}">
                          <a14:useLocalDpi xmlns:a14="http://schemas.microsoft.com/office/drawing/2010/main" val="0"/>
                        </a:ext>
                      </a:extLst>
                    </a:blip>
                    <a:stretch>
                      <a:fillRect/>
                    </a:stretch>
                  </pic:blipFill>
                  <pic:spPr>
                    <a:xfrm>
                      <a:off x="0" y="0"/>
                      <a:ext cx="6645910" cy="5538470"/>
                    </a:xfrm>
                    <a:prstGeom prst="rect">
                      <a:avLst/>
                    </a:prstGeom>
                  </pic:spPr>
                </pic:pic>
              </a:graphicData>
            </a:graphic>
          </wp:inline>
        </w:drawing>
      </w:r>
      <w:r w:rsidRPr="0017598C">
        <w:rPr>
          <w:rFonts w:ascii="Times New Roman" w:hAnsi="Times New Roman" w:cs="Times New Roman"/>
          <w:i/>
          <w:sz w:val="20"/>
          <w:szCs w:val="20"/>
          <w:lang w:val="en-GB"/>
        </w:rPr>
        <w:t>All model countries are marked dark grey, whereas the exogenous countries are lighter grey. All other countries are included in row (rest of the world).</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Natural gas trade </w:t>
      </w:r>
      <w:r>
        <w:rPr>
          <w:rFonts w:ascii="Times New Roman" w:hAnsi="Times New Roman" w:cs="Times New Roman"/>
          <w:lang w:val="en-GB"/>
        </w:rPr>
        <w:t xml:space="preserve">flows </w:t>
      </w:r>
      <w:r w:rsidRPr="00085FA6">
        <w:rPr>
          <w:rFonts w:ascii="Times New Roman" w:hAnsi="Times New Roman" w:cs="Times New Roman"/>
          <w:lang w:val="en-GB"/>
        </w:rPr>
        <w:t xml:space="preserve">between the model countries in the base year 2009 </w:t>
      </w:r>
      <w:r>
        <w:rPr>
          <w:rFonts w:ascii="Times New Roman" w:hAnsi="Times New Roman" w:cs="Times New Roman"/>
          <w:lang w:val="en-GB"/>
        </w:rPr>
        <w:t>are</w:t>
      </w:r>
      <w:r w:rsidRPr="00085FA6">
        <w:rPr>
          <w:rFonts w:ascii="Times New Roman" w:hAnsi="Times New Roman" w:cs="Times New Roman"/>
          <w:lang w:val="en-GB"/>
        </w:rPr>
        <w:t xml:space="preserve"> based on the IEA dataset World – Natural Gas imports by origin (from the IEA Natural Gas Information online database), supplemented by country import/export figures from Extended Energy Balances as the </w:t>
      </w:r>
      <w:r>
        <w:rPr>
          <w:rFonts w:ascii="Times New Roman" w:hAnsi="Times New Roman" w:cs="Times New Roman"/>
          <w:lang w:val="en-GB"/>
        </w:rPr>
        <w:t>dataset is not complete</w:t>
      </w:r>
      <w:r w:rsidRPr="00085FA6">
        <w:rPr>
          <w:rFonts w:ascii="Times New Roman" w:hAnsi="Times New Roman" w:cs="Times New Roman"/>
          <w:lang w:val="en-GB"/>
        </w:rPr>
        <w:t xml:space="preserve"> for the non-OECD countries.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lastRenderedPageBreak/>
        <w:t xml:space="preserve">Liquefied natural gas (LNG) has been modelled separately. All supply of LNG comes from a separate node (row2). Only countries with a coastline are allowed to receive LNG and the trade with row2 in the base year is based on </w:t>
      </w:r>
      <w:r w:rsidRPr="00085FA6">
        <w:rPr>
          <w:rFonts w:ascii="Times New Roman" w:hAnsi="Times New Roman" w:cs="Times New Roman"/>
          <w:lang w:val="en-GB"/>
        </w:rPr>
        <w:t xml:space="preserve">IEA </w:t>
      </w:r>
      <w:r>
        <w:rPr>
          <w:rFonts w:ascii="Times New Roman" w:hAnsi="Times New Roman" w:cs="Times New Roman"/>
          <w:lang w:val="en-GB"/>
        </w:rPr>
        <w:t>Natural Gas Information database, which</w:t>
      </w:r>
      <w:r w:rsidRPr="00085FA6">
        <w:rPr>
          <w:rFonts w:ascii="Times New Roman" w:hAnsi="Times New Roman" w:cs="Times New Roman"/>
          <w:lang w:val="en-GB"/>
        </w:rPr>
        <w:t xml:space="preserve"> has import and export</w:t>
      </w:r>
      <w:r>
        <w:rPr>
          <w:rFonts w:ascii="Times New Roman" w:hAnsi="Times New Roman" w:cs="Times New Roman"/>
          <w:lang w:val="en-GB"/>
        </w:rPr>
        <w:t xml:space="preserve"> data for</w:t>
      </w:r>
      <w:r w:rsidRPr="00085FA6">
        <w:rPr>
          <w:rFonts w:ascii="Times New Roman" w:hAnsi="Times New Roman" w:cs="Times New Roman"/>
          <w:lang w:val="en-GB"/>
        </w:rPr>
        <w:t xml:space="preserve"> LNG in 2009. </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For the dataset on traded amounts to be consistent with the energy balance in each of the model countries some minor adjustments </w:t>
      </w:r>
      <w:r>
        <w:rPr>
          <w:rFonts w:ascii="Times New Roman" w:hAnsi="Times New Roman" w:cs="Times New Roman"/>
          <w:lang w:val="en-GB"/>
        </w:rPr>
        <w:t xml:space="preserve">have been made </w:t>
      </w:r>
      <w:r w:rsidRPr="00085FA6">
        <w:rPr>
          <w:rFonts w:ascii="Times New Roman" w:hAnsi="Times New Roman" w:cs="Times New Roman"/>
          <w:lang w:val="en-GB"/>
        </w:rPr>
        <w:t>to the trade flows</w:t>
      </w:r>
      <w:r>
        <w:rPr>
          <w:rFonts w:ascii="Times New Roman" w:hAnsi="Times New Roman" w:cs="Times New Roman"/>
          <w:lang w:val="en-GB"/>
        </w:rPr>
        <w:t xml:space="preserve"> in the base year</w:t>
      </w:r>
      <w:r w:rsidRPr="00085FA6">
        <w:rPr>
          <w:rFonts w:ascii="Times New Roman" w:hAnsi="Times New Roman" w:cs="Times New Roman"/>
          <w:lang w:val="en-GB"/>
        </w:rPr>
        <w:t xml:space="preserve">. This ensures consistency with the data from IEA Extended Energy Balances in 2009. </w:t>
      </w:r>
    </w:p>
    <w:p w:rsidR="00EA0538" w:rsidRPr="00B5569F" w:rsidRDefault="00EA0538" w:rsidP="00EA0538">
      <w:pPr>
        <w:rPr>
          <w:lang w:val="en-GB"/>
        </w:rPr>
      </w:pPr>
    </w:p>
    <w:p w:rsidR="00EA0538" w:rsidRPr="00085FA6" w:rsidRDefault="00EA0538" w:rsidP="00EA0538">
      <w:pPr>
        <w:pStyle w:val="Heading4"/>
        <w:jc w:val="both"/>
        <w:rPr>
          <w:rFonts w:ascii="Times New Roman" w:hAnsi="Times New Roman" w:cs="Times New Roman"/>
          <w:lang w:val="en-GB"/>
        </w:rPr>
      </w:pPr>
      <w:r w:rsidRPr="00085FA6">
        <w:rPr>
          <w:rFonts w:ascii="Times New Roman" w:hAnsi="Times New Roman" w:cs="Times New Roman"/>
          <w:lang w:val="en-GB"/>
        </w:rPr>
        <w:t>3.5.</w:t>
      </w:r>
      <w:r>
        <w:rPr>
          <w:rFonts w:ascii="Times New Roman" w:hAnsi="Times New Roman" w:cs="Times New Roman"/>
          <w:lang w:val="en-GB"/>
        </w:rPr>
        <w:t>2</w:t>
      </w:r>
      <w:r w:rsidRPr="00085FA6">
        <w:rPr>
          <w:rFonts w:ascii="Times New Roman" w:hAnsi="Times New Roman" w:cs="Times New Roman"/>
          <w:lang w:val="en-GB"/>
        </w:rPr>
        <w:t>.1 Natural gas transmission capacity</w:t>
      </w:r>
    </w:p>
    <w:p w:rsidR="00EA0538" w:rsidRPr="00085FA6" w:rsidRDefault="00EA0538" w:rsidP="00EA0538">
      <w:pPr>
        <w:jc w:val="both"/>
        <w:rPr>
          <w:rFonts w:ascii="Times New Roman" w:hAnsi="Times New Roman" w:cs="Times New Roman"/>
          <w:lang w:val="en-US"/>
        </w:rPr>
      </w:pPr>
      <w:r w:rsidRPr="00085FA6">
        <w:rPr>
          <w:rFonts w:ascii="Times New Roman" w:hAnsi="Times New Roman" w:cs="Times New Roman"/>
          <w:lang w:val="en-GB"/>
        </w:rPr>
        <w:t>The capacities for transmission of natural gas between the model countries in the base year are taken from ENTSOG.</w:t>
      </w:r>
      <w:r w:rsidRPr="00085FA6">
        <w:rPr>
          <w:rStyle w:val="FootnoteReference"/>
          <w:rFonts w:ascii="Times New Roman" w:hAnsi="Times New Roman" w:cs="Times New Roman"/>
          <w:lang w:val="en-GB"/>
        </w:rPr>
        <w:footnoteReference w:id="41"/>
      </w:r>
      <w:r w:rsidRPr="00085FA6">
        <w:rPr>
          <w:rFonts w:ascii="Times New Roman" w:hAnsi="Times New Roman" w:cs="Times New Roman"/>
          <w:lang w:val="en-GB"/>
        </w:rPr>
        <w:t xml:space="preserve"> They provide a map of Europe and the neighbouring countries with transmission capacities at the country borders. It is assumed that all capacities are symmetrical. LNG trade is handled by assuming that all LNG is supplied from one central node (situated outside of Turkey/Greece), and can be shipped to any model country with a coast line (LNG cannot be sold to countries without a coastline). The actual traded LNG in the base year sets the initial capacity. </w:t>
      </w:r>
      <w:r w:rsidRPr="00085FA6">
        <w:rPr>
          <w:rFonts w:ascii="Times New Roman" w:hAnsi="Times New Roman" w:cs="Times New Roman"/>
          <w:lang w:val="en-GB"/>
        </w:rPr>
        <w:br/>
      </w:r>
    </w:p>
    <w:p w:rsidR="00EA0538" w:rsidRPr="00085FA6" w:rsidRDefault="00EA0538" w:rsidP="00EA0538">
      <w:pPr>
        <w:pStyle w:val="Heading4"/>
        <w:jc w:val="both"/>
        <w:rPr>
          <w:rFonts w:ascii="Times New Roman" w:hAnsi="Times New Roman" w:cs="Times New Roman"/>
          <w:lang w:val="en-GB"/>
        </w:rPr>
      </w:pPr>
      <w:r w:rsidRPr="00085FA6">
        <w:rPr>
          <w:rFonts w:ascii="Times New Roman" w:hAnsi="Times New Roman" w:cs="Times New Roman"/>
          <w:lang w:val="en-GB"/>
        </w:rPr>
        <w:t>3.5.</w:t>
      </w:r>
      <w:r>
        <w:rPr>
          <w:rFonts w:ascii="Times New Roman" w:hAnsi="Times New Roman" w:cs="Times New Roman"/>
          <w:lang w:val="en-GB"/>
        </w:rPr>
        <w:t>2</w:t>
      </w:r>
      <w:r w:rsidRPr="00085FA6">
        <w:rPr>
          <w:rFonts w:ascii="Times New Roman" w:hAnsi="Times New Roman" w:cs="Times New Roman"/>
          <w:lang w:val="en-GB"/>
        </w:rPr>
        <w:t xml:space="preserve">.2 Costs of new natural gas pipelines </w:t>
      </w:r>
    </w:p>
    <w:p w:rsidR="00EA0538" w:rsidRDefault="00EA0538" w:rsidP="00EA0538">
      <w:pPr>
        <w:jc w:val="both"/>
        <w:rPr>
          <w:rFonts w:ascii="Times New Roman" w:hAnsi="Times New Roman" w:cs="Times New Roman"/>
          <w:lang w:val="en-GB"/>
        </w:rPr>
      </w:pPr>
      <w:r>
        <w:rPr>
          <w:rFonts w:ascii="Times New Roman" w:hAnsi="Times New Roman" w:cs="Times New Roman"/>
          <w:lang w:val="en-GB"/>
        </w:rPr>
        <w:t>IEA</w:t>
      </w:r>
      <w:r w:rsidRPr="00085FA6">
        <w:rPr>
          <w:rFonts w:ascii="Times New Roman" w:hAnsi="Times New Roman" w:cs="Times New Roman"/>
          <w:lang w:val="en-GB"/>
        </w:rPr>
        <w:t xml:space="preserve"> World Energy Outlook </w:t>
      </w:r>
      <w:r>
        <w:rPr>
          <w:rFonts w:ascii="Times New Roman" w:hAnsi="Times New Roman" w:cs="Times New Roman"/>
          <w:lang w:val="en-GB"/>
        </w:rPr>
        <w:t xml:space="preserve">(2009) </w:t>
      </w:r>
      <w:r w:rsidRPr="00085FA6">
        <w:rPr>
          <w:rFonts w:ascii="Times New Roman" w:hAnsi="Times New Roman" w:cs="Times New Roman"/>
          <w:lang w:val="en-GB"/>
        </w:rPr>
        <w:t xml:space="preserve">has indicative costs for new pipelines to Europe in 2020. Based on this the cost of new onshore pipelines </w:t>
      </w:r>
      <w:r>
        <w:rPr>
          <w:rFonts w:ascii="Times New Roman" w:hAnsi="Times New Roman" w:cs="Times New Roman"/>
          <w:lang w:val="en-GB"/>
        </w:rPr>
        <w:t xml:space="preserve">has been set to </w:t>
      </w:r>
      <w:r w:rsidRPr="00085FA6">
        <w:rPr>
          <w:rFonts w:ascii="Times New Roman" w:hAnsi="Times New Roman" w:cs="Times New Roman"/>
          <w:lang w:val="en-GB"/>
        </w:rPr>
        <w:t>1.08 €/toe pr. 100 km, and the cost for offshore pipelines to 2.16 €/toe pr. 100 km. IEA ETSAP</w:t>
      </w:r>
      <w:r>
        <w:rPr>
          <w:rFonts w:ascii="Times New Roman" w:hAnsi="Times New Roman" w:cs="Times New Roman"/>
          <w:lang w:val="en-GB"/>
        </w:rPr>
        <w:t xml:space="preserve"> (2011)</w:t>
      </w:r>
      <w:r w:rsidRPr="00085FA6">
        <w:rPr>
          <w:rStyle w:val="FootnoteReference"/>
          <w:rFonts w:ascii="Times New Roman" w:hAnsi="Times New Roman" w:cs="Times New Roman"/>
          <w:lang w:val="en-GB"/>
        </w:rPr>
        <w:footnoteReference w:id="42"/>
      </w:r>
      <w:r w:rsidRPr="00085FA6">
        <w:rPr>
          <w:rFonts w:ascii="Times New Roman" w:hAnsi="Times New Roman" w:cs="Times New Roman"/>
          <w:lang w:val="en-GB"/>
        </w:rPr>
        <w:t xml:space="preserve"> has data for pipeline costs varying with capacity and steel grade. Their cost for </w:t>
      </w:r>
      <w:proofErr w:type="gramStart"/>
      <w:r w:rsidRPr="00085FA6">
        <w:rPr>
          <w:rFonts w:ascii="Times New Roman" w:hAnsi="Times New Roman" w:cs="Times New Roman"/>
          <w:lang w:val="en-GB"/>
        </w:rPr>
        <w:t>a</w:t>
      </w:r>
      <w:proofErr w:type="gramEnd"/>
      <w:r w:rsidRPr="00085FA6">
        <w:rPr>
          <w:rFonts w:ascii="Times New Roman" w:hAnsi="Times New Roman" w:cs="Times New Roman"/>
          <w:lang w:val="en-GB"/>
        </w:rPr>
        <w:t xml:space="preserve"> X70 pipeline, which is used for many of the current onshore natural gas pi</w:t>
      </w:r>
      <w:r>
        <w:rPr>
          <w:rFonts w:ascii="Times New Roman" w:hAnsi="Times New Roman" w:cs="Times New Roman"/>
          <w:lang w:val="en-GB"/>
        </w:rPr>
        <w:t xml:space="preserve">pelines, is in line with the </w:t>
      </w:r>
      <w:r w:rsidRPr="00085FA6">
        <w:rPr>
          <w:rFonts w:ascii="Times New Roman" w:hAnsi="Times New Roman" w:cs="Times New Roman"/>
          <w:lang w:val="en-GB"/>
        </w:rPr>
        <w:t>onshore estimate</w:t>
      </w:r>
      <w:r>
        <w:rPr>
          <w:rFonts w:ascii="Times New Roman" w:hAnsi="Times New Roman" w:cs="Times New Roman"/>
          <w:lang w:val="en-GB"/>
        </w:rPr>
        <w:t xml:space="preserve"> used</w:t>
      </w:r>
      <w:r w:rsidRPr="00085FA6">
        <w:rPr>
          <w:rFonts w:ascii="Times New Roman" w:hAnsi="Times New Roman" w:cs="Times New Roman"/>
          <w:lang w:val="en-GB"/>
        </w:rPr>
        <w:t xml:space="preserve">. In the long-run model capital costs are </w:t>
      </w:r>
      <w:r>
        <w:rPr>
          <w:rFonts w:ascii="Times New Roman" w:hAnsi="Times New Roman" w:cs="Times New Roman"/>
          <w:lang w:val="en-GB"/>
        </w:rPr>
        <w:t xml:space="preserve">assumed to be </w:t>
      </w:r>
      <w:r w:rsidRPr="00085FA6">
        <w:rPr>
          <w:rFonts w:ascii="Times New Roman" w:hAnsi="Times New Roman" w:cs="Times New Roman"/>
          <w:lang w:val="en-GB"/>
        </w:rPr>
        <w:t xml:space="preserve">98 % of </w:t>
      </w:r>
      <w:r>
        <w:rPr>
          <w:rFonts w:ascii="Times New Roman" w:hAnsi="Times New Roman" w:cs="Times New Roman"/>
          <w:lang w:val="en-GB"/>
        </w:rPr>
        <w:t xml:space="preserve">the annualised costs of new pipelines, whereas O&amp;M costs are the 2 %. </w:t>
      </w:r>
    </w:p>
    <w:p w:rsidR="00EA0538" w:rsidRDefault="00EA0538" w:rsidP="00EA0538">
      <w:pPr>
        <w:jc w:val="both"/>
        <w:rPr>
          <w:rFonts w:ascii="Times New Roman" w:hAnsi="Times New Roman" w:cs="Times New Roman"/>
          <w:lang w:val="en-GB"/>
        </w:rPr>
      </w:pPr>
    </w:p>
    <w:p w:rsidR="00EA0538" w:rsidRPr="00085FA6" w:rsidRDefault="00EA0538" w:rsidP="00EA0538">
      <w:pPr>
        <w:pStyle w:val="Heading4"/>
        <w:jc w:val="both"/>
        <w:rPr>
          <w:rFonts w:ascii="Times New Roman" w:hAnsi="Times New Roman" w:cs="Times New Roman"/>
          <w:lang w:val="en-GB"/>
        </w:rPr>
      </w:pPr>
      <w:r w:rsidRPr="00085FA6">
        <w:rPr>
          <w:rFonts w:ascii="Times New Roman" w:hAnsi="Times New Roman" w:cs="Times New Roman"/>
          <w:lang w:val="en-GB"/>
        </w:rPr>
        <w:t>3.5.</w:t>
      </w:r>
      <w:r>
        <w:rPr>
          <w:rFonts w:ascii="Times New Roman" w:hAnsi="Times New Roman" w:cs="Times New Roman"/>
          <w:lang w:val="en-GB"/>
        </w:rPr>
        <w:t>2</w:t>
      </w:r>
      <w:r w:rsidRPr="00085FA6">
        <w:rPr>
          <w:rFonts w:ascii="Times New Roman" w:hAnsi="Times New Roman" w:cs="Times New Roman"/>
          <w:lang w:val="en-GB"/>
        </w:rPr>
        <w:t>.3 Costs of international natural gas transport</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For international transmission the loss factor is set to 2 % (conversation with industry experts)</w:t>
      </w:r>
      <w:r>
        <w:rPr>
          <w:rFonts w:ascii="Times New Roman" w:hAnsi="Times New Roman" w:cs="Times New Roman"/>
          <w:lang w:val="en-GB"/>
        </w:rPr>
        <w:t xml:space="preserve"> for all connections</w:t>
      </w:r>
      <w:r w:rsidRPr="00085FA6">
        <w:rPr>
          <w:rFonts w:ascii="Times New Roman" w:hAnsi="Times New Roman" w:cs="Times New Roman"/>
          <w:lang w:val="en-GB"/>
        </w:rPr>
        <w:t xml:space="preserve">. </w:t>
      </w:r>
      <w:r>
        <w:rPr>
          <w:rFonts w:ascii="Times New Roman" w:hAnsi="Times New Roman" w:cs="Times New Roman"/>
          <w:lang w:val="en-GB"/>
        </w:rPr>
        <w:t>T</w:t>
      </w:r>
      <w:r w:rsidRPr="00085FA6">
        <w:rPr>
          <w:rFonts w:ascii="Times New Roman" w:hAnsi="Times New Roman" w:cs="Times New Roman"/>
          <w:lang w:val="en-GB"/>
        </w:rPr>
        <w:t xml:space="preserve">he </w:t>
      </w:r>
      <w:r>
        <w:rPr>
          <w:rFonts w:ascii="Times New Roman" w:hAnsi="Times New Roman" w:cs="Times New Roman"/>
          <w:lang w:val="en-GB"/>
        </w:rPr>
        <w:t>O&amp;M</w:t>
      </w:r>
      <w:r w:rsidRPr="00085FA6">
        <w:rPr>
          <w:rFonts w:ascii="Times New Roman" w:hAnsi="Times New Roman" w:cs="Times New Roman"/>
          <w:lang w:val="en-GB"/>
        </w:rPr>
        <w:t xml:space="preserve"> costs of international natural gas transportation are </w:t>
      </w:r>
      <w:r>
        <w:rPr>
          <w:rFonts w:ascii="Times New Roman" w:hAnsi="Times New Roman" w:cs="Times New Roman"/>
          <w:lang w:val="en-GB"/>
        </w:rPr>
        <w:t xml:space="preserve">assumed to be </w:t>
      </w:r>
      <w:r w:rsidRPr="00085FA6">
        <w:rPr>
          <w:rFonts w:ascii="Times New Roman" w:hAnsi="Times New Roman" w:cs="Times New Roman"/>
          <w:lang w:val="en-GB"/>
        </w:rPr>
        <w:t>2 % of the total costs of new pipelines (</w:t>
      </w:r>
      <w:r>
        <w:rPr>
          <w:rFonts w:ascii="Times New Roman" w:hAnsi="Times New Roman" w:cs="Times New Roman"/>
          <w:lang w:val="en-GB"/>
        </w:rPr>
        <w:t>IEA 2009, IEA ETSAP 2011</w:t>
      </w:r>
      <w:r w:rsidRPr="00085FA6">
        <w:rPr>
          <w:rFonts w:ascii="Times New Roman" w:hAnsi="Times New Roman" w:cs="Times New Roman"/>
          <w:lang w:val="en-GB"/>
        </w:rPr>
        <w:t>).</w:t>
      </w:r>
    </w:p>
    <w:p w:rsidR="00EA0538" w:rsidRPr="00085FA6" w:rsidRDefault="00EA0538" w:rsidP="00EA0538">
      <w:pPr>
        <w:pStyle w:val="Heading4"/>
        <w:jc w:val="both"/>
        <w:rPr>
          <w:rFonts w:ascii="Times New Roman" w:hAnsi="Times New Roman" w:cs="Times New Roman"/>
          <w:lang w:val="en-GB"/>
        </w:rPr>
      </w:pPr>
      <w:r>
        <w:rPr>
          <w:rFonts w:ascii="Times New Roman" w:hAnsi="Times New Roman" w:cs="Times New Roman"/>
          <w:lang w:val="en-GB"/>
        </w:rPr>
        <w:br/>
      </w:r>
      <w:r w:rsidRPr="00085FA6">
        <w:rPr>
          <w:rFonts w:ascii="Times New Roman" w:hAnsi="Times New Roman" w:cs="Times New Roman"/>
          <w:lang w:val="en-GB"/>
        </w:rPr>
        <w:t>3.5.</w:t>
      </w:r>
      <w:r>
        <w:rPr>
          <w:rFonts w:ascii="Times New Roman" w:hAnsi="Times New Roman" w:cs="Times New Roman"/>
          <w:lang w:val="en-GB"/>
        </w:rPr>
        <w:t>2</w:t>
      </w:r>
      <w:r w:rsidRPr="00085FA6">
        <w:rPr>
          <w:rFonts w:ascii="Times New Roman" w:hAnsi="Times New Roman" w:cs="Times New Roman"/>
          <w:lang w:val="en-GB"/>
        </w:rPr>
        <w:t>.4 Costs of domestic transportation and distribution of natural gas</w:t>
      </w: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The national cost figures for transport and distribution of natural gas for EU 15 have been taken from the Household Energy Price Index</w:t>
      </w:r>
      <w:r>
        <w:rPr>
          <w:rFonts w:ascii="Times New Roman" w:hAnsi="Times New Roman" w:cs="Times New Roman"/>
          <w:lang w:val="en-GB"/>
        </w:rPr>
        <w:t xml:space="preserve"> (HEPI) </w:t>
      </w:r>
      <w:sdt>
        <w:sdtPr>
          <w:rPr>
            <w:rFonts w:ascii="Times New Roman" w:hAnsi="Times New Roman" w:cs="Times New Roman"/>
            <w:lang w:val="en-GB"/>
          </w:rPr>
          <w:id w:val="1279058401"/>
          <w:citation/>
        </w:sdtPr>
        <w:sdtContent>
          <w:r w:rsidRPr="00085FA6">
            <w:rPr>
              <w:rFonts w:ascii="Times New Roman" w:hAnsi="Times New Roman" w:cs="Times New Roman"/>
              <w:lang w:val="en-GB"/>
            </w:rPr>
            <w:fldChar w:fldCharType="begin"/>
          </w:r>
          <w:r w:rsidRPr="00085FA6">
            <w:rPr>
              <w:rFonts w:ascii="Times New Roman" w:hAnsi="Times New Roman" w:cs="Times New Roman"/>
              <w:lang w:val="en-US"/>
            </w:rPr>
            <w:instrText xml:space="preserve"> CITATION ECo12 \l 1044 </w:instrText>
          </w:r>
          <w:r w:rsidRPr="00085FA6">
            <w:rPr>
              <w:rFonts w:ascii="Times New Roman" w:hAnsi="Times New Roman" w:cs="Times New Roman"/>
              <w:lang w:val="en-GB"/>
            </w:rPr>
            <w:fldChar w:fldCharType="separate"/>
          </w:r>
          <w:r w:rsidRPr="00085FA6">
            <w:rPr>
              <w:rFonts w:ascii="Times New Roman" w:hAnsi="Times New Roman" w:cs="Times New Roman"/>
              <w:noProof/>
              <w:lang w:val="en-US"/>
            </w:rPr>
            <w:t>(E-Control/VaasaETT, 2012)</w:t>
          </w:r>
          <w:r w:rsidRPr="00085FA6">
            <w:rPr>
              <w:rFonts w:ascii="Times New Roman" w:hAnsi="Times New Roman" w:cs="Times New Roman"/>
              <w:lang w:val="en-GB"/>
            </w:rPr>
            <w:fldChar w:fldCharType="end"/>
          </w:r>
        </w:sdtContent>
      </w:sdt>
      <w:r w:rsidRPr="00085FA6">
        <w:rPr>
          <w:rFonts w:ascii="Times New Roman" w:hAnsi="Times New Roman" w:cs="Times New Roman"/>
          <w:lang w:val="en-GB"/>
        </w:rPr>
        <w:t>. This publication provides an overview of the different components that make up consumers’ gas bills, including distribution. For countries that are not covered by the HEPI-project</w:t>
      </w:r>
      <w:r>
        <w:rPr>
          <w:rFonts w:ascii="Times New Roman" w:hAnsi="Times New Roman" w:cs="Times New Roman"/>
          <w:lang w:val="en-GB"/>
        </w:rPr>
        <w:t xml:space="preserve">, data from the European Regulators’ Group for Electricity and Gas (ERGEG) has been used. ERGEG’s 2010 </w:t>
      </w:r>
      <w:r w:rsidRPr="00085FA6">
        <w:rPr>
          <w:rFonts w:ascii="Times New Roman" w:hAnsi="Times New Roman" w:cs="Times New Roman"/>
          <w:lang w:val="en-GB"/>
        </w:rPr>
        <w:t>Status Review on the Liberalisation and Implementation of the Regulatory Framework published national reports for each of the EU member countries</w:t>
      </w:r>
      <w:r>
        <w:rPr>
          <w:rFonts w:ascii="Times New Roman" w:hAnsi="Times New Roman" w:cs="Times New Roman"/>
          <w:lang w:val="en-GB"/>
        </w:rPr>
        <w:t>,</w:t>
      </w:r>
      <w:r w:rsidRPr="00085FA6">
        <w:rPr>
          <w:rFonts w:ascii="Times New Roman" w:hAnsi="Times New Roman" w:cs="Times New Roman"/>
          <w:lang w:val="en-GB"/>
        </w:rPr>
        <w:t xml:space="preserve"> which contain 2009 data for distribution costs. </w:t>
      </w:r>
      <w:r w:rsidRPr="00085FA6">
        <w:rPr>
          <w:rStyle w:val="FootnoteReference"/>
          <w:rFonts w:ascii="Times New Roman" w:hAnsi="Times New Roman" w:cs="Times New Roman"/>
          <w:lang w:val="en-GB"/>
        </w:rPr>
        <w:footnoteReference w:id="43"/>
      </w:r>
    </w:p>
    <w:p w:rsidR="00EA0538" w:rsidRPr="0076187D" w:rsidRDefault="00EA0538" w:rsidP="00EA0538">
      <w:pPr>
        <w:rPr>
          <w:rFonts w:ascii="Times New Roman" w:hAnsi="Times New Roman" w:cs="Times New Roman"/>
          <w:b/>
          <w:sz w:val="20"/>
          <w:szCs w:val="20"/>
          <w:lang w:val="en-GB"/>
        </w:rPr>
      </w:pPr>
      <w:r w:rsidRPr="0076187D">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11</w:t>
      </w:r>
      <w:r w:rsidRPr="0076187D">
        <w:rPr>
          <w:rFonts w:ascii="Times New Roman" w:hAnsi="Times New Roman" w:cs="Times New Roman"/>
          <w:b/>
          <w:sz w:val="20"/>
          <w:szCs w:val="20"/>
          <w:lang w:val="en-GB"/>
        </w:rPr>
        <w:t xml:space="preserve"> Domestic transportation and distribution costs for households and industry (in €/toe) </w:t>
      </w:r>
    </w:p>
    <w:tbl>
      <w:tblPr>
        <w:tblStyle w:val="LightShading-Accent1"/>
        <w:tblW w:w="0" w:type="auto"/>
        <w:tblLook w:val="04A0" w:firstRow="1" w:lastRow="0" w:firstColumn="1" w:lastColumn="0" w:noHBand="0" w:noVBand="1"/>
      </w:tblPr>
      <w:tblGrid>
        <w:gridCol w:w="1384"/>
        <w:gridCol w:w="1276"/>
        <w:gridCol w:w="1559"/>
        <w:gridCol w:w="1276"/>
        <w:gridCol w:w="1276"/>
        <w:gridCol w:w="1417"/>
        <w:gridCol w:w="1474"/>
      </w:tblGrid>
      <w:tr w:rsidR="00EA0538" w:rsidRPr="000233CC"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Country</w:t>
            </w:r>
          </w:p>
        </w:tc>
        <w:tc>
          <w:tcPr>
            <w:tcW w:w="1276"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H</w:t>
            </w:r>
            <w:r w:rsidRPr="000233CC">
              <w:rPr>
                <w:rFonts w:ascii="Times New Roman" w:hAnsi="Times New Roman" w:cs="Times New Roman"/>
                <w:b w:val="0"/>
                <w:sz w:val="20"/>
                <w:szCs w:val="20"/>
                <w:lang w:val="en-GB"/>
              </w:rPr>
              <w:t>ousehold</w:t>
            </w:r>
          </w:p>
        </w:tc>
        <w:tc>
          <w:tcPr>
            <w:tcW w:w="1559"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I</w:t>
            </w:r>
            <w:r w:rsidRPr="000233CC">
              <w:rPr>
                <w:rFonts w:ascii="Times New Roman" w:hAnsi="Times New Roman" w:cs="Times New Roman"/>
                <w:b w:val="0"/>
                <w:sz w:val="20"/>
                <w:szCs w:val="20"/>
                <w:lang w:val="en-GB"/>
              </w:rPr>
              <w:t>ndustry</w:t>
            </w:r>
          </w:p>
        </w:tc>
        <w:tc>
          <w:tcPr>
            <w:tcW w:w="1276" w:type="dxa"/>
          </w:tcPr>
          <w:p w:rsidR="00EA0538" w:rsidRPr="000233CC"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p>
        </w:tc>
        <w:tc>
          <w:tcPr>
            <w:tcW w:w="1276" w:type="dxa"/>
          </w:tcPr>
          <w:p w:rsidR="00EA0538" w:rsidRPr="000233CC"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Country</w:t>
            </w:r>
          </w:p>
        </w:tc>
        <w:tc>
          <w:tcPr>
            <w:tcW w:w="1417"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H</w:t>
            </w:r>
            <w:r w:rsidRPr="000233CC">
              <w:rPr>
                <w:rFonts w:ascii="Times New Roman" w:hAnsi="Times New Roman" w:cs="Times New Roman"/>
                <w:b w:val="0"/>
                <w:sz w:val="20"/>
                <w:szCs w:val="20"/>
                <w:lang w:val="en-GB"/>
              </w:rPr>
              <w:t>ousehold</w:t>
            </w:r>
          </w:p>
        </w:tc>
        <w:tc>
          <w:tcPr>
            <w:tcW w:w="1474"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I</w:t>
            </w:r>
            <w:r w:rsidRPr="000233CC">
              <w:rPr>
                <w:rFonts w:ascii="Times New Roman" w:hAnsi="Times New Roman" w:cs="Times New Roman"/>
                <w:b w:val="0"/>
                <w:sz w:val="20"/>
                <w:szCs w:val="20"/>
                <w:lang w:val="en-GB"/>
              </w:rPr>
              <w:t>ndustry</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at</w:t>
            </w:r>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183.29</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64.36</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proofErr w:type="spellStart"/>
            <w:r w:rsidRPr="000233CC">
              <w:rPr>
                <w:rFonts w:ascii="Times New Roman" w:hAnsi="Times New Roman" w:cs="Times New Roman"/>
                <w:sz w:val="20"/>
                <w:szCs w:val="20"/>
                <w:lang w:val="de-DE"/>
              </w:rPr>
              <w:t>ie</w:t>
            </w:r>
            <w:proofErr w:type="spellEnd"/>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266.85</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148.37</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be</w:t>
            </w:r>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166.21</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58.72</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proofErr w:type="spellStart"/>
            <w:r w:rsidRPr="000233CC">
              <w:rPr>
                <w:rFonts w:ascii="Times New Roman" w:hAnsi="Times New Roman" w:cs="Times New Roman"/>
                <w:sz w:val="20"/>
                <w:szCs w:val="20"/>
                <w:lang w:val="de-DE"/>
              </w:rPr>
              <w:t>is</w:t>
            </w:r>
            <w:proofErr w:type="spellEnd"/>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156.40</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46.35</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bg</w:t>
            </w:r>
            <w:proofErr w:type="spellEnd"/>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66.87</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35.43</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it</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130.05</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67.15</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ch</w:t>
            </w:r>
            <w:proofErr w:type="spellEnd"/>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183.29</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93.79</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lt</w:t>
            </w:r>
            <w:proofErr w:type="spellEnd"/>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64.43</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68.38</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cy</w:t>
            </w:r>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167.94</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88.72</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lu</w:t>
            </w:r>
            <w:proofErr w:type="spellEnd"/>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118.46</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40.01</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cz</w:t>
            </w:r>
            <w:proofErr w:type="spellEnd"/>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108.22</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75.42</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lv</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64.43</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43.46</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de</w:t>
            </w:r>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111.42</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48.67</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mt</w:t>
            </w:r>
            <w:proofErr w:type="spellEnd"/>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138.05</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71.68</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lastRenderedPageBreak/>
              <w:t>dk</w:t>
            </w:r>
            <w:proofErr w:type="spellEnd"/>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156.40</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46.35</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nl</w:t>
            </w:r>
            <w:proofErr w:type="spellEnd"/>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83.60</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43.79</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ee</w:t>
            </w:r>
            <w:proofErr w:type="spellEnd"/>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66.99</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48.39</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no</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182.88</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30.23</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es</w:t>
            </w:r>
            <w:proofErr w:type="spellEnd"/>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321.64</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124.31</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pl</w:t>
            </w:r>
            <w:proofErr w:type="spellEnd"/>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108.22</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66.01</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fi</w:t>
            </w:r>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66.99</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57.34</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pt</w:t>
            </w:r>
            <w:proofErr w:type="spellEnd"/>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299.41</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136.31</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fr</w:t>
            </w:r>
            <w:proofErr w:type="spellEnd"/>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210.05</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110.15</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ro</w:t>
            </w:r>
            <w:proofErr w:type="spellEnd"/>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66.87</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41.56</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gb</w:t>
            </w:r>
            <w:proofErr w:type="spellEnd"/>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106.67</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33.90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se</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222.59</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113.73</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de-DE"/>
              </w:rPr>
            </w:pPr>
            <w:proofErr w:type="spellStart"/>
            <w:r w:rsidRPr="000233CC">
              <w:rPr>
                <w:rFonts w:ascii="Times New Roman" w:hAnsi="Times New Roman" w:cs="Times New Roman"/>
                <w:b w:val="0"/>
                <w:sz w:val="20"/>
                <w:szCs w:val="20"/>
                <w:lang w:val="de-DE"/>
              </w:rPr>
              <w:t>gr</w:t>
            </w:r>
            <w:proofErr w:type="spellEnd"/>
          </w:p>
        </w:tc>
        <w:tc>
          <w:tcPr>
            <w:tcW w:w="1276"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167.94</w:t>
            </w:r>
          </w:p>
        </w:tc>
        <w:tc>
          <w:tcPr>
            <w:tcW w:w="1559"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62.36</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si</w:t>
            </w:r>
            <w:proofErr w:type="spellEnd"/>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183.29</w:t>
            </w:r>
          </w:p>
        </w:tc>
        <w:tc>
          <w:tcPr>
            <w:tcW w:w="1474"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ab/>
              <w:t>71.74</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de-DE"/>
              </w:rPr>
            </w:pPr>
            <w:r w:rsidRPr="000233CC">
              <w:rPr>
                <w:rFonts w:ascii="Times New Roman" w:hAnsi="Times New Roman" w:cs="Times New Roman"/>
                <w:b w:val="0"/>
                <w:sz w:val="20"/>
                <w:szCs w:val="20"/>
                <w:lang w:val="de-DE"/>
              </w:rPr>
              <w:t>hu</w:t>
            </w:r>
          </w:p>
        </w:tc>
        <w:tc>
          <w:tcPr>
            <w:tcW w:w="1276"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191.40</w:t>
            </w:r>
          </w:p>
        </w:tc>
        <w:tc>
          <w:tcPr>
            <w:tcW w:w="1559"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105.10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proofErr w:type="spellStart"/>
            <w:r w:rsidRPr="000233CC">
              <w:rPr>
                <w:rFonts w:ascii="Times New Roman" w:hAnsi="Times New Roman" w:cs="Times New Roman"/>
                <w:sz w:val="20"/>
                <w:szCs w:val="20"/>
                <w:lang w:val="de-DE"/>
              </w:rPr>
              <w:t>sk</w:t>
            </w:r>
            <w:proofErr w:type="spellEnd"/>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108.22</w:t>
            </w:r>
          </w:p>
        </w:tc>
        <w:tc>
          <w:tcPr>
            <w:tcW w:w="1474"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0233CC">
              <w:rPr>
                <w:rFonts w:ascii="Times New Roman" w:hAnsi="Times New Roman" w:cs="Times New Roman"/>
                <w:sz w:val="20"/>
                <w:szCs w:val="20"/>
                <w:lang w:val="de-DE"/>
              </w:rPr>
              <w:t>110.12</w:t>
            </w:r>
          </w:p>
        </w:tc>
      </w:tr>
    </w:tbl>
    <w:p w:rsidR="00EA0538" w:rsidRPr="00085FA6" w:rsidRDefault="00EA0538" w:rsidP="00EA0538">
      <w:pPr>
        <w:rPr>
          <w:rFonts w:ascii="Times New Roman" w:hAnsi="Times New Roman" w:cs="Times New Roman"/>
          <w:color w:val="FF0000"/>
          <w:lang w:val="de-DE"/>
        </w:rPr>
      </w:pPr>
    </w:p>
    <w:p w:rsidR="00EA0538" w:rsidRDefault="00EA0538" w:rsidP="00EA0538">
      <w:pPr>
        <w:pStyle w:val="Heading3"/>
        <w:jc w:val="both"/>
        <w:rPr>
          <w:rFonts w:ascii="Times New Roman" w:hAnsi="Times New Roman" w:cs="Times New Roman"/>
          <w:lang w:val="en-GB"/>
        </w:rPr>
      </w:pPr>
      <w:bookmarkStart w:id="28" w:name="_Toc386631740"/>
      <w:r w:rsidRPr="00085FA6">
        <w:rPr>
          <w:rFonts w:ascii="Times New Roman" w:hAnsi="Times New Roman" w:cs="Times New Roman"/>
          <w:lang w:val="en-GB"/>
        </w:rPr>
        <w:t>3.5.</w:t>
      </w:r>
      <w:r>
        <w:rPr>
          <w:rFonts w:ascii="Times New Roman" w:hAnsi="Times New Roman" w:cs="Times New Roman"/>
          <w:lang w:val="en-GB"/>
        </w:rPr>
        <w:t>3</w:t>
      </w:r>
      <w:r w:rsidRPr="00085FA6">
        <w:rPr>
          <w:rFonts w:ascii="Times New Roman" w:hAnsi="Times New Roman" w:cs="Times New Roman"/>
          <w:lang w:val="en-GB"/>
        </w:rPr>
        <w:t xml:space="preserve"> Electricity</w:t>
      </w:r>
      <w:bookmarkEnd w:id="28"/>
      <w:r w:rsidRPr="00085FA6">
        <w:rPr>
          <w:rFonts w:ascii="Times New Roman" w:hAnsi="Times New Roman" w:cs="Times New Roman"/>
          <w:lang w:val="en-GB"/>
        </w:rPr>
        <w:t xml:space="preserve">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All electricity trade takes place between the consumption nodes. Countries that are not connected cannot trade directly (see figure 3). T</w:t>
      </w:r>
      <w:r w:rsidRPr="00085FA6">
        <w:rPr>
          <w:rFonts w:ascii="Times New Roman" w:hAnsi="Times New Roman" w:cs="Times New Roman"/>
          <w:lang w:val="en-GB"/>
        </w:rPr>
        <w:t xml:space="preserve">ransmission of electricity between the model countries in the base year is taken from the IEA Electricity Statistics Database. However, the IEA does not have full datasets for the non-OECD countries so </w:t>
      </w:r>
      <w:r>
        <w:rPr>
          <w:rFonts w:ascii="Times New Roman" w:hAnsi="Times New Roman" w:cs="Times New Roman"/>
          <w:lang w:val="en-GB"/>
        </w:rPr>
        <w:t xml:space="preserve">data from </w:t>
      </w:r>
      <w:r w:rsidRPr="00085FA6">
        <w:rPr>
          <w:rFonts w:ascii="Times New Roman" w:hAnsi="Times New Roman" w:cs="Times New Roman"/>
          <w:lang w:val="en-GB"/>
        </w:rPr>
        <w:t>ENTSO-E</w:t>
      </w:r>
      <w:r w:rsidRPr="00085FA6">
        <w:rPr>
          <w:rStyle w:val="FootnoteReference"/>
          <w:rFonts w:ascii="Times New Roman" w:hAnsi="Times New Roman" w:cs="Times New Roman"/>
          <w:lang w:val="en-GB"/>
        </w:rPr>
        <w:footnoteReference w:id="44"/>
      </w:r>
      <w:r w:rsidRPr="00085FA6">
        <w:rPr>
          <w:rFonts w:ascii="Times New Roman" w:hAnsi="Times New Roman" w:cs="Times New Roman"/>
          <w:lang w:val="en-GB"/>
        </w:rPr>
        <w:t xml:space="preserve"> has been used</w:t>
      </w:r>
      <w:r>
        <w:rPr>
          <w:rFonts w:ascii="Times New Roman" w:hAnsi="Times New Roman" w:cs="Times New Roman"/>
          <w:lang w:val="en-GB"/>
        </w:rPr>
        <w:t xml:space="preserve"> for Bulgaria, Cyprus, Latvia, Lithuania, Malta and Romania</w:t>
      </w:r>
      <w:r w:rsidRPr="00085FA6">
        <w:rPr>
          <w:rFonts w:ascii="Times New Roman" w:hAnsi="Times New Roman" w:cs="Times New Roman"/>
          <w:lang w:val="en-GB"/>
        </w:rPr>
        <w:t xml:space="preserve">. </w:t>
      </w:r>
      <w:r>
        <w:rPr>
          <w:rFonts w:ascii="Times New Roman" w:hAnsi="Times New Roman" w:cs="Times New Roman"/>
          <w:lang w:val="en-GB"/>
        </w:rPr>
        <w:t xml:space="preserve">The trade in the base year is adjusted to ensure that net demand in each model country is in keeping with the energy balance given in the IEA Extended Energy Balances. </w:t>
      </w:r>
      <w:r>
        <w:rPr>
          <w:rStyle w:val="FootnoteReference"/>
          <w:rFonts w:ascii="Times New Roman" w:hAnsi="Times New Roman" w:cs="Times New Roman"/>
          <w:lang w:val="en-GB"/>
        </w:rPr>
        <w:footnoteReference w:id="45"/>
      </w:r>
    </w:p>
    <w:p w:rsidR="00EA0538" w:rsidRPr="0017598C" w:rsidRDefault="00EA0538" w:rsidP="00EA0538">
      <w:pPr>
        <w:spacing w:after="0"/>
        <w:jc w:val="both"/>
        <w:rPr>
          <w:rFonts w:ascii="Times New Roman" w:hAnsi="Times New Roman" w:cs="Times New Roman"/>
          <w:b/>
          <w:sz w:val="20"/>
          <w:szCs w:val="20"/>
          <w:lang w:val="en-GB"/>
        </w:rPr>
      </w:pPr>
      <w:r>
        <w:rPr>
          <w:rFonts w:ascii="Times New Roman" w:hAnsi="Times New Roman" w:cs="Times New Roman"/>
          <w:b/>
          <w:sz w:val="20"/>
          <w:szCs w:val="20"/>
          <w:lang w:val="en-GB"/>
        </w:rPr>
        <w:br/>
      </w:r>
      <w:r w:rsidRPr="0017598C">
        <w:rPr>
          <w:rFonts w:ascii="Times New Roman" w:hAnsi="Times New Roman" w:cs="Times New Roman"/>
          <w:b/>
          <w:sz w:val="20"/>
          <w:szCs w:val="20"/>
          <w:lang w:val="en-GB"/>
        </w:rPr>
        <w:t xml:space="preserve">Figure </w:t>
      </w:r>
      <w:r>
        <w:rPr>
          <w:rFonts w:ascii="Times New Roman" w:hAnsi="Times New Roman" w:cs="Times New Roman"/>
          <w:b/>
          <w:sz w:val="20"/>
          <w:szCs w:val="20"/>
          <w:lang w:val="en-GB"/>
        </w:rPr>
        <w:t>3</w:t>
      </w:r>
      <w:r w:rsidRPr="0017598C">
        <w:rPr>
          <w:rFonts w:ascii="Times New Roman" w:hAnsi="Times New Roman" w:cs="Times New Roman"/>
          <w:b/>
          <w:sz w:val="20"/>
          <w:szCs w:val="20"/>
          <w:lang w:val="en-GB"/>
        </w:rPr>
        <w:t xml:space="preserve"> Country nodes for electricity trade </w:t>
      </w:r>
    </w:p>
    <w:p w:rsidR="00EA0538" w:rsidRPr="0017598C" w:rsidRDefault="00EA0538" w:rsidP="00EA0538">
      <w:pPr>
        <w:jc w:val="both"/>
        <w:rPr>
          <w:rFonts w:ascii="Times New Roman" w:hAnsi="Times New Roman" w:cs="Times New Roman"/>
          <w:lang w:val="en-GB"/>
        </w:rPr>
      </w:pPr>
      <w:r>
        <w:rPr>
          <w:rFonts w:ascii="Times New Roman" w:hAnsi="Times New Roman" w:cs="Times New Roman"/>
          <w:noProof/>
        </w:rPr>
        <w:drawing>
          <wp:inline distT="0" distB="0" distL="0" distR="0" wp14:anchorId="00292E79" wp14:editId="46E88D4E">
            <wp:extent cx="6645910" cy="55384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europe_nodes_electricity.png"/>
                    <pic:cNvPicPr/>
                  </pic:nvPicPr>
                  <pic:blipFill>
                    <a:blip r:embed="rId19">
                      <a:extLst>
                        <a:ext uri="{28A0092B-C50C-407E-A947-70E740481C1C}">
                          <a14:useLocalDpi xmlns:a14="http://schemas.microsoft.com/office/drawing/2010/main" val="0"/>
                        </a:ext>
                      </a:extLst>
                    </a:blip>
                    <a:stretch>
                      <a:fillRect/>
                    </a:stretch>
                  </pic:blipFill>
                  <pic:spPr>
                    <a:xfrm>
                      <a:off x="0" y="0"/>
                      <a:ext cx="6645910" cy="5538470"/>
                    </a:xfrm>
                    <a:prstGeom prst="rect">
                      <a:avLst/>
                    </a:prstGeom>
                  </pic:spPr>
                </pic:pic>
              </a:graphicData>
            </a:graphic>
          </wp:inline>
        </w:drawing>
      </w:r>
      <w:r w:rsidRPr="0017598C">
        <w:rPr>
          <w:rFonts w:ascii="Times New Roman" w:hAnsi="Times New Roman" w:cs="Times New Roman"/>
          <w:i/>
          <w:sz w:val="20"/>
          <w:szCs w:val="20"/>
          <w:lang w:val="en-GB"/>
        </w:rPr>
        <w:t>All model countries are marked dark grey, whereas the exogenous countries are lighter grey. All other countries are included in row (rest of the world).</w:t>
      </w:r>
    </w:p>
    <w:p w:rsidR="00EA0538" w:rsidRPr="00B5569F" w:rsidRDefault="00EA0538" w:rsidP="00EA0538">
      <w:pPr>
        <w:rPr>
          <w:lang w:val="en-GB"/>
        </w:rPr>
      </w:pPr>
    </w:p>
    <w:p w:rsidR="00EA0538" w:rsidRPr="00085FA6" w:rsidRDefault="00EA0538" w:rsidP="00EA0538">
      <w:pPr>
        <w:pStyle w:val="Heading4"/>
        <w:jc w:val="both"/>
        <w:rPr>
          <w:rFonts w:ascii="Times New Roman" w:hAnsi="Times New Roman" w:cs="Times New Roman"/>
          <w:lang w:val="en-GB"/>
        </w:rPr>
      </w:pPr>
      <w:r w:rsidRPr="00085FA6">
        <w:rPr>
          <w:rFonts w:ascii="Times New Roman" w:hAnsi="Times New Roman" w:cs="Times New Roman"/>
          <w:lang w:val="en-GB"/>
        </w:rPr>
        <w:t>3.5.</w:t>
      </w:r>
      <w:r>
        <w:rPr>
          <w:rFonts w:ascii="Times New Roman" w:hAnsi="Times New Roman" w:cs="Times New Roman"/>
          <w:lang w:val="en-GB"/>
        </w:rPr>
        <w:t>3</w:t>
      </w:r>
      <w:r w:rsidRPr="00085FA6">
        <w:rPr>
          <w:rFonts w:ascii="Times New Roman" w:hAnsi="Times New Roman" w:cs="Times New Roman"/>
          <w:lang w:val="en-GB"/>
        </w:rPr>
        <w:t>.1 Electricity transmission capacity</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Data from</w:t>
      </w:r>
      <w:r w:rsidRPr="00085FA6">
        <w:rPr>
          <w:rFonts w:ascii="Times New Roman" w:hAnsi="Times New Roman" w:cs="Times New Roman"/>
          <w:lang w:val="en-GB"/>
        </w:rPr>
        <w:t xml:space="preserve"> ENTSO-E </w:t>
      </w:r>
      <w:r>
        <w:rPr>
          <w:rFonts w:ascii="Times New Roman" w:hAnsi="Times New Roman" w:cs="Times New Roman"/>
          <w:lang w:val="en-GB"/>
        </w:rPr>
        <w:t>has been used for</w:t>
      </w:r>
      <w:r w:rsidRPr="00085FA6">
        <w:rPr>
          <w:rFonts w:ascii="Times New Roman" w:hAnsi="Times New Roman" w:cs="Times New Roman"/>
          <w:lang w:val="en-GB"/>
        </w:rPr>
        <w:t xml:space="preserve"> transmission capacities between the model co</w:t>
      </w:r>
      <w:r>
        <w:rPr>
          <w:rFonts w:ascii="Times New Roman" w:hAnsi="Times New Roman" w:cs="Times New Roman"/>
          <w:lang w:val="en-GB"/>
        </w:rPr>
        <w:t>untries,</w:t>
      </w:r>
      <w:r w:rsidRPr="00085FA6">
        <w:rPr>
          <w:rFonts w:ascii="Times New Roman" w:hAnsi="Times New Roman" w:cs="Times New Roman"/>
          <w:lang w:val="en-GB"/>
        </w:rPr>
        <w:t xml:space="preserve"> supplemented by NORDEL </w:t>
      </w:r>
      <w:r>
        <w:rPr>
          <w:rFonts w:ascii="Times New Roman" w:hAnsi="Times New Roman" w:cs="Times New Roman"/>
          <w:lang w:val="en-GB"/>
        </w:rPr>
        <w:t xml:space="preserve">(2008) </w:t>
      </w:r>
      <w:r w:rsidRPr="00085FA6">
        <w:rPr>
          <w:rFonts w:ascii="Times New Roman" w:hAnsi="Times New Roman" w:cs="Times New Roman"/>
          <w:lang w:val="en-GB"/>
        </w:rPr>
        <w:t>for the Nordic countries.</w:t>
      </w:r>
      <w:r w:rsidRPr="00085FA6">
        <w:rPr>
          <w:rStyle w:val="FootnoteReference"/>
          <w:rFonts w:ascii="Times New Roman" w:hAnsi="Times New Roman" w:cs="Times New Roman"/>
          <w:lang w:val="en-GB"/>
        </w:rPr>
        <w:footnoteReference w:id="46"/>
      </w:r>
      <w:r w:rsidRPr="00085FA6">
        <w:rPr>
          <w:rFonts w:ascii="Times New Roman" w:hAnsi="Times New Roman" w:cs="Times New Roman"/>
          <w:lang w:val="en-GB"/>
        </w:rPr>
        <w:t xml:space="preserve"> ENTSO-E provides a matrix of “Indicative values for net transfer capacities (NTC) in Europe”. It is difficult to estimate </w:t>
      </w:r>
      <w:r w:rsidRPr="00085FA6">
        <w:rPr>
          <w:rFonts w:ascii="Times New Roman" w:hAnsi="Times New Roman" w:cs="Times New Roman"/>
          <w:i/>
          <w:lang w:val="en-GB"/>
        </w:rPr>
        <w:t>feasible</w:t>
      </w:r>
      <w:r w:rsidRPr="00085FA6">
        <w:rPr>
          <w:rFonts w:ascii="Times New Roman" w:hAnsi="Times New Roman" w:cs="Times New Roman"/>
          <w:lang w:val="en-GB"/>
        </w:rPr>
        <w:t xml:space="preserve"> transmission capacities in an electricity network, partly because all networks have weak parts that restrain feasible capacity and partly due to loop flow. ENTSO-E provides a “maximum import/export number (in MW) for some of the countries, which is much lower than reported nominal capacities between countries. This difference reflects the capacity constraints. Based on the available data from ENTSO-E for 2009 and the sources used in 2000-version of LIBEMOD</w:t>
      </w:r>
      <w:r>
        <w:rPr>
          <w:rFonts w:ascii="Times New Roman" w:hAnsi="Times New Roman" w:cs="Times New Roman"/>
          <w:lang w:val="en-GB"/>
        </w:rPr>
        <w:t xml:space="preserve"> (see </w:t>
      </w:r>
      <w:proofErr w:type="spellStart"/>
      <w:r>
        <w:rPr>
          <w:rFonts w:ascii="Times New Roman" w:hAnsi="Times New Roman" w:cs="Times New Roman"/>
          <w:lang w:val="en-GB"/>
        </w:rPr>
        <w:t>Aune</w:t>
      </w:r>
      <w:proofErr w:type="spellEnd"/>
      <w:r>
        <w:rPr>
          <w:rFonts w:ascii="Times New Roman" w:hAnsi="Times New Roman" w:cs="Times New Roman"/>
          <w:lang w:val="en-GB"/>
        </w:rPr>
        <w:t xml:space="preserve"> et al. 2008)</w:t>
      </w:r>
      <w:r w:rsidRPr="00085FA6">
        <w:rPr>
          <w:rFonts w:ascii="Times New Roman" w:hAnsi="Times New Roman" w:cs="Times New Roman"/>
          <w:lang w:val="en-GB"/>
        </w:rPr>
        <w:t xml:space="preserve">, it is assumed that for all alternating current (AC) transmission lines the feasible capacity is set to 50 % of the nominal capacity, whereas for direct current (DC) cables it is assumed that the feasible capacity is equal to the nominal capacity. Sea cables are typically DC. </w:t>
      </w:r>
    </w:p>
    <w:p w:rsidR="00EA0538" w:rsidRPr="00085FA6" w:rsidRDefault="00EA0538" w:rsidP="00EA0538">
      <w:pPr>
        <w:pStyle w:val="Heading4"/>
        <w:jc w:val="both"/>
        <w:rPr>
          <w:rFonts w:ascii="Times New Roman" w:hAnsi="Times New Roman" w:cs="Times New Roman"/>
          <w:lang w:val="en-GB"/>
        </w:rPr>
      </w:pPr>
      <w:r>
        <w:rPr>
          <w:rFonts w:ascii="Times New Roman" w:eastAsiaTheme="minorEastAsia" w:hAnsi="Times New Roman" w:cs="Times New Roman"/>
          <w:b w:val="0"/>
          <w:bCs w:val="0"/>
          <w:i w:val="0"/>
          <w:iCs w:val="0"/>
          <w:color w:val="auto"/>
          <w:lang w:val="en-US"/>
        </w:rPr>
        <w:br/>
      </w:r>
      <w:r w:rsidRPr="00085FA6">
        <w:rPr>
          <w:rFonts w:ascii="Times New Roman" w:hAnsi="Times New Roman" w:cs="Times New Roman"/>
          <w:lang w:val="en-GB"/>
        </w:rPr>
        <w:t>3.5.</w:t>
      </w:r>
      <w:r>
        <w:rPr>
          <w:rFonts w:ascii="Times New Roman" w:hAnsi="Times New Roman" w:cs="Times New Roman"/>
          <w:lang w:val="en-GB"/>
        </w:rPr>
        <w:t>3</w:t>
      </w:r>
      <w:r w:rsidRPr="00085FA6">
        <w:rPr>
          <w:rFonts w:ascii="Times New Roman" w:hAnsi="Times New Roman" w:cs="Times New Roman"/>
          <w:lang w:val="en-GB"/>
        </w:rPr>
        <w:t xml:space="preserve">.2 Costs of new transmission lines </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The costs of constructing new transmission lines and sea cables (used in the long-run version of the model) </w:t>
      </w:r>
      <w:r>
        <w:rPr>
          <w:rFonts w:ascii="Times New Roman" w:hAnsi="Times New Roman" w:cs="Times New Roman"/>
          <w:lang w:val="en-GB"/>
        </w:rPr>
        <w:t>are based on</w:t>
      </w:r>
      <w:r w:rsidRPr="00085FA6">
        <w:rPr>
          <w:rFonts w:ascii="Times New Roman" w:hAnsi="Times New Roman" w:cs="Times New Roman"/>
          <w:lang w:val="en-GB"/>
        </w:rPr>
        <w:t xml:space="preserve"> </w:t>
      </w:r>
      <w:proofErr w:type="spellStart"/>
      <w:r w:rsidRPr="00085FA6">
        <w:rPr>
          <w:rFonts w:ascii="Times New Roman" w:hAnsi="Times New Roman" w:cs="Times New Roman"/>
          <w:lang w:val="en-GB"/>
        </w:rPr>
        <w:t>Statnett</w:t>
      </w:r>
      <w:proofErr w:type="spellEnd"/>
      <w:r w:rsidRPr="00085FA6">
        <w:rPr>
          <w:rFonts w:ascii="Times New Roman" w:hAnsi="Times New Roman" w:cs="Times New Roman"/>
          <w:lang w:val="en-GB"/>
        </w:rPr>
        <w:t xml:space="preserve"> (2006, 2008 &amp; 2010),</w:t>
      </w:r>
      <w:r w:rsidRPr="00085FA6">
        <w:rPr>
          <w:rStyle w:val="FootnoteReference"/>
          <w:rFonts w:ascii="Times New Roman" w:hAnsi="Times New Roman" w:cs="Times New Roman"/>
          <w:lang w:val="en-GB"/>
        </w:rPr>
        <w:footnoteReference w:id="47"/>
      </w:r>
      <w:r w:rsidRPr="00085FA6">
        <w:rPr>
          <w:rFonts w:ascii="Times New Roman" w:hAnsi="Times New Roman" w:cs="Times New Roman"/>
          <w:lang w:val="en-GB"/>
        </w:rPr>
        <w:t xml:space="preserve"> DENA (2011) and </w:t>
      </w:r>
      <w:r>
        <w:rPr>
          <w:rFonts w:ascii="Times New Roman" w:hAnsi="Times New Roman" w:cs="Times New Roman"/>
          <w:lang w:val="en-GB"/>
        </w:rPr>
        <w:t xml:space="preserve">costs </w:t>
      </w:r>
      <w:r w:rsidRPr="00085FA6">
        <w:rPr>
          <w:rFonts w:ascii="Times New Roman" w:hAnsi="Times New Roman" w:cs="Times New Roman"/>
          <w:lang w:val="en-GB"/>
        </w:rPr>
        <w:t xml:space="preserve">from the </w:t>
      </w:r>
      <w:proofErr w:type="spellStart"/>
      <w:r w:rsidRPr="00085FA6">
        <w:rPr>
          <w:rFonts w:ascii="Times New Roman" w:hAnsi="Times New Roman" w:cs="Times New Roman"/>
          <w:lang w:val="en-GB"/>
        </w:rPr>
        <w:t>BritNed</w:t>
      </w:r>
      <w:proofErr w:type="spellEnd"/>
      <w:r w:rsidRPr="00085FA6">
        <w:rPr>
          <w:rFonts w:ascii="Times New Roman" w:hAnsi="Times New Roman" w:cs="Times New Roman"/>
          <w:lang w:val="en-GB"/>
        </w:rPr>
        <w:t xml:space="preserve"> project (2012). For transmission lines data from projects </w:t>
      </w:r>
      <w:r>
        <w:rPr>
          <w:rFonts w:ascii="Times New Roman" w:hAnsi="Times New Roman" w:cs="Times New Roman"/>
          <w:lang w:val="en-GB"/>
        </w:rPr>
        <w:t>in Norway (</w:t>
      </w:r>
      <w:proofErr w:type="spellStart"/>
      <w:r w:rsidRPr="00085FA6">
        <w:rPr>
          <w:rFonts w:ascii="Times New Roman" w:hAnsi="Times New Roman" w:cs="Times New Roman"/>
          <w:lang w:val="en-GB"/>
        </w:rPr>
        <w:t>Statnett</w:t>
      </w:r>
      <w:proofErr w:type="spellEnd"/>
      <w:r w:rsidRPr="00085FA6">
        <w:rPr>
          <w:rFonts w:ascii="Times New Roman" w:hAnsi="Times New Roman" w:cs="Times New Roman"/>
          <w:lang w:val="en-GB"/>
        </w:rPr>
        <w:t xml:space="preserve"> 2006</w:t>
      </w:r>
      <w:r>
        <w:rPr>
          <w:rFonts w:ascii="Times New Roman" w:hAnsi="Times New Roman" w:cs="Times New Roman"/>
          <w:lang w:val="en-GB"/>
        </w:rPr>
        <w:t xml:space="preserve"> and</w:t>
      </w:r>
      <w:r w:rsidRPr="00085FA6">
        <w:rPr>
          <w:rFonts w:ascii="Times New Roman" w:hAnsi="Times New Roman" w:cs="Times New Roman"/>
          <w:lang w:val="en-GB"/>
        </w:rPr>
        <w:t xml:space="preserve"> 2010), and German</w:t>
      </w:r>
      <w:r>
        <w:rPr>
          <w:rFonts w:ascii="Times New Roman" w:hAnsi="Times New Roman" w:cs="Times New Roman"/>
          <w:lang w:val="en-GB"/>
        </w:rPr>
        <w:t>y (</w:t>
      </w:r>
      <w:r w:rsidRPr="00085FA6">
        <w:rPr>
          <w:rFonts w:ascii="Times New Roman" w:hAnsi="Times New Roman" w:cs="Times New Roman"/>
          <w:lang w:val="en-GB"/>
        </w:rPr>
        <w:t>DENA 2011)</w:t>
      </w:r>
      <w:r>
        <w:rPr>
          <w:rFonts w:ascii="Times New Roman" w:hAnsi="Times New Roman" w:cs="Times New Roman"/>
          <w:lang w:val="en-GB"/>
        </w:rPr>
        <w:t xml:space="preserve"> have been used</w:t>
      </w:r>
      <w:r w:rsidRPr="00085FA6">
        <w:rPr>
          <w:rFonts w:ascii="Times New Roman" w:hAnsi="Times New Roman" w:cs="Times New Roman"/>
          <w:lang w:val="en-GB"/>
        </w:rPr>
        <w:t>. These sources range between 250 and 550 €/MW per kilometre for variable costs, whereas fixed costs are around 0.02 M€/MW. In the model 500 €/MW for variable costs and 0.02 M€/MW for fixed costs</w:t>
      </w:r>
      <w:r>
        <w:rPr>
          <w:rFonts w:ascii="Times New Roman" w:hAnsi="Times New Roman" w:cs="Times New Roman"/>
          <w:lang w:val="en-GB"/>
        </w:rPr>
        <w:t xml:space="preserve"> has been assumed</w:t>
      </w:r>
      <w:r w:rsidRPr="00085FA6">
        <w:rPr>
          <w:rFonts w:ascii="Times New Roman" w:hAnsi="Times New Roman" w:cs="Times New Roman"/>
          <w:lang w:val="en-GB"/>
        </w:rPr>
        <w:t xml:space="preserve">. </w:t>
      </w:r>
    </w:p>
    <w:p w:rsidR="00EA0538" w:rsidRDefault="00EA0538" w:rsidP="00EA0538">
      <w:pPr>
        <w:jc w:val="both"/>
        <w:rPr>
          <w:rFonts w:ascii="Times New Roman" w:hAnsi="Times New Roman" w:cs="Times New Roman"/>
          <w:lang w:val="en-GB"/>
        </w:rPr>
      </w:pPr>
      <w:proofErr w:type="spellStart"/>
      <w:r>
        <w:rPr>
          <w:rFonts w:ascii="Times New Roman" w:hAnsi="Times New Roman" w:cs="Times New Roman"/>
          <w:lang w:val="en-GB"/>
        </w:rPr>
        <w:t>Statnett</w:t>
      </w:r>
      <w:proofErr w:type="spellEnd"/>
      <w:r>
        <w:rPr>
          <w:rFonts w:ascii="Times New Roman" w:hAnsi="Times New Roman" w:cs="Times New Roman"/>
          <w:lang w:val="en-GB"/>
        </w:rPr>
        <w:t xml:space="preserve"> (2008, 2011) has cost</w:t>
      </w:r>
      <w:r w:rsidRPr="00085FA6">
        <w:rPr>
          <w:rFonts w:ascii="Times New Roman" w:hAnsi="Times New Roman" w:cs="Times New Roman"/>
          <w:lang w:val="en-GB"/>
        </w:rPr>
        <w:t xml:space="preserve"> data </w:t>
      </w:r>
      <w:r>
        <w:rPr>
          <w:rFonts w:ascii="Times New Roman" w:hAnsi="Times New Roman" w:cs="Times New Roman"/>
          <w:lang w:val="en-GB"/>
        </w:rPr>
        <w:t xml:space="preserve">for sea cables </w:t>
      </w:r>
      <w:r w:rsidRPr="00085FA6">
        <w:rPr>
          <w:rFonts w:ascii="Times New Roman" w:hAnsi="Times New Roman" w:cs="Times New Roman"/>
          <w:lang w:val="en-GB"/>
        </w:rPr>
        <w:t xml:space="preserve">from the </w:t>
      </w:r>
      <w:proofErr w:type="spellStart"/>
      <w:r w:rsidRPr="00085FA6">
        <w:rPr>
          <w:rFonts w:ascii="Times New Roman" w:hAnsi="Times New Roman" w:cs="Times New Roman"/>
          <w:lang w:val="en-GB"/>
        </w:rPr>
        <w:t>Skagerak</w:t>
      </w:r>
      <w:proofErr w:type="spellEnd"/>
      <w:r w:rsidRPr="00085FA6">
        <w:rPr>
          <w:rFonts w:ascii="Times New Roman" w:hAnsi="Times New Roman" w:cs="Times New Roman"/>
          <w:lang w:val="en-GB"/>
        </w:rPr>
        <w:t xml:space="preserve"> 4 project and the </w:t>
      </w:r>
      <w:proofErr w:type="spellStart"/>
      <w:r w:rsidRPr="00085FA6">
        <w:rPr>
          <w:rFonts w:ascii="Times New Roman" w:hAnsi="Times New Roman" w:cs="Times New Roman"/>
          <w:lang w:val="en-GB"/>
        </w:rPr>
        <w:t>NordLink</w:t>
      </w:r>
      <w:proofErr w:type="spellEnd"/>
      <w:r w:rsidRPr="00085FA6">
        <w:rPr>
          <w:rFonts w:ascii="Times New Roman" w:hAnsi="Times New Roman" w:cs="Times New Roman"/>
          <w:lang w:val="en-GB"/>
        </w:rPr>
        <w:t>/</w:t>
      </w:r>
      <w:proofErr w:type="spellStart"/>
      <w:r w:rsidRPr="00085FA6">
        <w:rPr>
          <w:rFonts w:ascii="Times New Roman" w:hAnsi="Times New Roman" w:cs="Times New Roman"/>
          <w:lang w:val="en-GB"/>
        </w:rPr>
        <w:t>NorGer</w:t>
      </w:r>
      <w:proofErr w:type="spellEnd"/>
      <w:r w:rsidRPr="00085FA6">
        <w:rPr>
          <w:rFonts w:ascii="Times New Roman" w:hAnsi="Times New Roman" w:cs="Times New Roman"/>
          <w:lang w:val="en-GB"/>
        </w:rPr>
        <w:t xml:space="preserve"> projects.</w:t>
      </w:r>
      <w:r w:rsidRPr="00085FA6">
        <w:rPr>
          <w:rStyle w:val="FootnoteReference"/>
          <w:rFonts w:ascii="Times New Roman" w:hAnsi="Times New Roman" w:cs="Times New Roman"/>
          <w:lang w:val="en-GB"/>
        </w:rPr>
        <w:footnoteReference w:id="48"/>
      </w:r>
      <w:r w:rsidRPr="00085FA6">
        <w:rPr>
          <w:rFonts w:ascii="Times New Roman" w:hAnsi="Times New Roman" w:cs="Times New Roman"/>
          <w:lang w:val="en-GB"/>
        </w:rPr>
        <w:t xml:space="preserve"> </w:t>
      </w:r>
      <w:r>
        <w:rPr>
          <w:rFonts w:ascii="Times New Roman" w:hAnsi="Times New Roman" w:cs="Times New Roman"/>
          <w:lang w:val="en-GB"/>
        </w:rPr>
        <w:t xml:space="preserve">Total costs for </w:t>
      </w:r>
      <w:r w:rsidRPr="00085FA6">
        <w:rPr>
          <w:rFonts w:ascii="Times New Roman" w:hAnsi="Times New Roman" w:cs="Times New Roman"/>
          <w:lang w:val="en-GB"/>
        </w:rPr>
        <w:t>the sea cable between the UK and the Netherlands that was finalised in 2011</w:t>
      </w:r>
      <w:r>
        <w:rPr>
          <w:rFonts w:ascii="Times New Roman" w:hAnsi="Times New Roman" w:cs="Times New Roman"/>
          <w:lang w:val="en-GB"/>
        </w:rPr>
        <w:t xml:space="preserve"> is available from </w:t>
      </w:r>
      <w:proofErr w:type="spellStart"/>
      <w:r w:rsidRPr="00085FA6">
        <w:rPr>
          <w:rFonts w:ascii="Times New Roman" w:hAnsi="Times New Roman" w:cs="Times New Roman"/>
          <w:lang w:val="en-GB"/>
        </w:rPr>
        <w:t>BritNed</w:t>
      </w:r>
      <w:proofErr w:type="spellEnd"/>
      <w:r w:rsidRPr="00085FA6">
        <w:rPr>
          <w:rFonts w:ascii="Times New Roman" w:hAnsi="Times New Roman" w:cs="Times New Roman"/>
          <w:lang w:val="en-GB"/>
        </w:rPr>
        <w:t xml:space="preserve"> </w:t>
      </w:r>
      <w:r>
        <w:rPr>
          <w:rFonts w:ascii="Times New Roman" w:hAnsi="Times New Roman" w:cs="Times New Roman"/>
          <w:lang w:val="en-GB"/>
        </w:rPr>
        <w:t>(</w:t>
      </w:r>
      <w:r w:rsidRPr="00085FA6">
        <w:rPr>
          <w:rFonts w:ascii="Times New Roman" w:hAnsi="Times New Roman" w:cs="Times New Roman"/>
          <w:lang w:val="en-GB"/>
        </w:rPr>
        <w:t xml:space="preserve">2012). </w:t>
      </w:r>
      <w:r>
        <w:rPr>
          <w:rFonts w:ascii="Times New Roman" w:hAnsi="Times New Roman" w:cs="Times New Roman"/>
          <w:lang w:val="en-GB"/>
        </w:rPr>
        <w:t>The</w:t>
      </w:r>
      <w:r w:rsidRPr="00085FA6">
        <w:rPr>
          <w:rFonts w:ascii="Times New Roman" w:hAnsi="Times New Roman" w:cs="Times New Roman"/>
          <w:lang w:val="en-GB"/>
        </w:rPr>
        <w:t xml:space="preserve"> above mentioned sources </w:t>
      </w:r>
      <w:r>
        <w:rPr>
          <w:rFonts w:ascii="Times New Roman" w:hAnsi="Times New Roman" w:cs="Times New Roman"/>
          <w:lang w:val="en-GB"/>
        </w:rPr>
        <w:t>give</w:t>
      </w:r>
      <w:r w:rsidRPr="00085FA6">
        <w:rPr>
          <w:rFonts w:ascii="Times New Roman" w:hAnsi="Times New Roman" w:cs="Times New Roman"/>
          <w:lang w:val="en-GB"/>
        </w:rPr>
        <w:t xml:space="preserve"> a range for variable costs between 1100 and 1600 €/MW per kilometre, and fixed costs between 0.16 and 0.18 M€/MW. In the model 1500 €/MW per kilometre </w:t>
      </w:r>
      <w:r>
        <w:rPr>
          <w:rFonts w:ascii="Times New Roman" w:hAnsi="Times New Roman" w:cs="Times New Roman"/>
          <w:lang w:val="en-GB"/>
        </w:rPr>
        <w:t xml:space="preserve">is used </w:t>
      </w:r>
      <w:r w:rsidRPr="00085FA6">
        <w:rPr>
          <w:rFonts w:ascii="Times New Roman" w:hAnsi="Times New Roman" w:cs="Times New Roman"/>
          <w:lang w:val="en-GB"/>
        </w:rPr>
        <w:t xml:space="preserve">for variable costs and 0.2 M€/MW for fixed costs. These </w:t>
      </w:r>
      <w:r>
        <w:rPr>
          <w:rFonts w:ascii="Times New Roman" w:hAnsi="Times New Roman" w:cs="Times New Roman"/>
          <w:lang w:val="en-GB"/>
        </w:rPr>
        <w:t>costs</w:t>
      </w:r>
      <w:r w:rsidRPr="00085FA6">
        <w:rPr>
          <w:rFonts w:ascii="Times New Roman" w:hAnsi="Times New Roman" w:cs="Times New Roman"/>
          <w:lang w:val="en-GB"/>
        </w:rPr>
        <w:t xml:space="preserve"> </w:t>
      </w:r>
      <w:r>
        <w:rPr>
          <w:rFonts w:ascii="Times New Roman" w:hAnsi="Times New Roman" w:cs="Times New Roman"/>
          <w:lang w:val="en-GB"/>
        </w:rPr>
        <w:t xml:space="preserve">are </w:t>
      </w:r>
      <w:r w:rsidRPr="00085FA6">
        <w:rPr>
          <w:rFonts w:ascii="Times New Roman" w:hAnsi="Times New Roman" w:cs="Times New Roman"/>
          <w:lang w:val="en-GB"/>
        </w:rPr>
        <w:t xml:space="preserve">combined with </w:t>
      </w:r>
      <w:r>
        <w:rPr>
          <w:rFonts w:ascii="Times New Roman" w:hAnsi="Times New Roman" w:cs="Times New Roman"/>
          <w:lang w:val="en-GB"/>
        </w:rPr>
        <w:t xml:space="preserve">the </w:t>
      </w:r>
      <w:r w:rsidRPr="00085FA6">
        <w:rPr>
          <w:rFonts w:ascii="Times New Roman" w:hAnsi="Times New Roman" w:cs="Times New Roman"/>
          <w:lang w:val="en-GB"/>
        </w:rPr>
        <w:t xml:space="preserve">distances onshore and offshore between </w:t>
      </w:r>
      <w:r>
        <w:rPr>
          <w:rFonts w:ascii="Times New Roman" w:hAnsi="Times New Roman" w:cs="Times New Roman"/>
          <w:lang w:val="en-GB"/>
        </w:rPr>
        <w:t xml:space="preserve">neighbouring </w:t>
      </w:r>
      <w:r w:rsidRPr="00085FA6">
        <w:rPr>
          <w:rFonts w:ascii="Times New Roman" w:hAnsi="Times New Roman" w:cs="Times New Roman"/>
          <w:lang w:val="en-GB"/>
        </w:rPr>
        <w:t xml:space="preserve">model countries. </w:t>
      </w:r>
    </w:p>
    <w:p w:rsidR="00EA0538" w:rsidRPr="00085FA6" w:rsidRDefault="00EA0538" w:rsidP="00EA0538">
      <w:pPr>
        <w:pStyle w:val="Heading4"/>
        <w:jc w:val="both"/>
        <w:rPr>
          <w:rFonts w:ascii="Times New Roman" w:hAnsi="Times New Roman" w:cs="Times New Roman"/>
          <w:lang w:val="en-GB"/>
        </w:rPr>
      </w:pPr>
      <w:r>
        <w:rPr>
          <w:rFonts w:ascii="Times New Roman" w:eastAsiaTheme="minorEastAsia" w:hAnsi="Times New Roman" w:cs="Times New Roman"/>
          <w:b w:val="0"/>
          <w:bCs w:val="0"/>
          <w:i w:val="0"/>
          <w:iCs w:val="0"/>
          <w:color w:val="auto"/>
          <w:lang w:val="en-GB"/>
        </w:rPr>
        <w:br/>
      </w:r>
      <w:r w:rsidRPr="00085FA6">
        <w:rPr>
          <w:rFonts w:ascii="Times New Roman" w:hAnsi="Times New Roman" w:cs="Times New Roman"/>
          <w:lang w:val="en-GB"/>
        </w:rPr>
        <w:t>3.5.</w:t>
      </w:r>
      <w:r>
        <w:rPr>
          <w:rFonts w:ascii="Times New Roman" w:hAnsi="Times New Roman" w:cs="Times New Roman"/>
          <w:lang w:val="en-GB"/>
        </w:rPr>
        <w:t>3</w:t>
      </w:r>
      <w:r w:rsidRPr="00085FA6">
        <w:rPr>
          <w:rFonts w:ascii="Times New Roman" w:hAnsi="Times New Roman" w:cs="Times New Roman"/>
          <w:lang w:val="en-GB"/>
        </w:rPr>
        <w:t xml:space="preserve">.3 Costs of operating international electricity transmission </w:t>
      </w:r>
    </w:p>
    <w:p w:rsidR="00EA0538" w:rsidRPr="00085FA6" w:rsidRDefault="00EA0538" w:rsidP="00EA0538">
      <w:pPr>
        <w:jc w:val="both"/>
        <w:rPr>
          <w:rFonts w:ascii="Times New Roman" w:hAnsi="Times New Roman" w:cs="Times New Roman"/>
          <w:lang w:val="en-GB"/>
        </w:rPr>
      </w:pPr>
      <w:r>
        <w:rPr>
          <w:rFonts w:ascii="Times New Roman" w:hAnsi="Times New Roman" w:cs="Times New Roman"/>
          <w:lang w:val="en-GB"/>
        </w:rPr>
        <w:t>Transmission</w:t>
      </w:r>
      <w:r w:rsidRPr="00085FA6">
        <w:rPr>
          <w:rFonts w:ascii="Times New Roman" w:hAnsi="Times New Roman" w:cs="Times New Roman"/>
          <w:lang w:val="en-GB"/>
        </w:rPr>
        <w:t xml:space="preserve"> lines </w:t>
      </w:r>
      <w:r>
        <w:rPr>
          <w:rFonts w:ascii="Times New Roman" w:hAnsi="Times New Roman" w:cs="Times New Roman"/>
          <w:lang w:val="en-GB"/>
        </w:rPr>
        <w:t xml:space="preserve">are assumed to </w:t>
      </w:r>
      <w:r w:rsidRPr="00085FA6">
        <w:rPr>
          <w:rFonts w:ascii="Times New Roman" w:hAnsi="Times New Roman" w:cs="Times New Roman"/>
          <w:lang w:val="en-GB"/>
        </w:rPr>
        <w:t xml:space="preserve">have a loss factor of 2 %, while the loss factor for sea cables is 3 %. This is in line with Amundsen and </w:t>
      </w:r>
      <w:proofErr w:type="spellStart"/>
      <w:r w:rsidRPr="00085FA6">
        <w:rPr>
          <w:rFonts w:ascii="Times New Roman" w:hAnsi="Times New Roman" w:cs="Times New Roman"/>
          <w:lang w:val="en-GB"/>
        </w:rPr>
        <w:t>Tjøtta</w:t>
      </w:r>
      <w:proofErr w:type="spellEnd"/>
      <w:r w:rsidRPr="00085FA6">
        <w:rPr>
          <w:rFonts w:ascii="Times New Roman" w:hAnsi="Times New Roman" w:cs="Times New Roman"/>
          <w:lang w:val="en-GB"/>
        </w:rPr>
        <w:t xml:space="preserve"> (1997), which for most transmission lines use a loss factor of 2 %. </w:t>
      </w:r>
      <w:r>
        <w:rPr>
          <w:rFonts w:ascii="Times New Roman" w:hAnsi="Times New Roman" w:cs="Times New Roman"/>
          <w:lang w:val="en-GB"/>
        </w:rPr>
        <w:t xml:space="preserve">Data </w:t>
      </w:r>
      <w:r w:rsidRPr="00085FA6">
        <w:rPr>
          <w:rFonts w:ascii="Times New Roman" w:hAnsi="Times New Roman" w:cs="Times New Roman"/>
          <w:lang w:val="en-GB"/>
        </w:rPr>
        <w:t xml:space="preserve">on investment costs from </w:t>
      </w:r>
      <w:proofErr w:type="spellStart"/>
      <w:r w:rsidRPr="00085FA6">
        <w:rPr>
          <w:rFonts w:ascii="Times New Roman" w:hAnsi="Times New Roman" w:cs="Times New Roman"/>
          <w:lang w:val="en-GB"/>
        </w:rPr>
        <w:t>Statnett</w:t>
      </w:r>
      <w:proofErr w:type="spellEnd"/>
      <w:r w:rsidRPr="00085FA6">
        <w:rPr>
          <w:rFonts w:ascii="Times New Roman" w:hAnsi="Times New Roman" w:cs="Times New Roman"/>
          <w:lang w:val="en-GB"/>
        </w:rPr>
        <w:t xml:space="preserve"> (2006, 2008 &amp; 2010)</w:t>
      </w:r>
      <w:r w:rsidRPr="00085FA6">
        <w:rPr>
          <w:rStyle w:val="FootnoteReference"/>
          <w:rFonts w:ascii="Times New Roman" w:hAnsi="Times New Roman" w:cs="Times New Roman"/>
          <w:lang w:val="en-GB"/>
        </w:rPr>
        <w:footnoteReference w:id="49"/>
      </w:r>
      <w:r w:rsidRPr="00085FA6">
        <w:rPr>
          <w:rFonts w:ascii="Times New Roman" w:hAnsi="Times New Roman" w:cs="Times New Roman"/>
          <w:lang w:val="en-GB"/>
        </w:rPr>
        <w:t xml:space="preserve"> </w:t>
      </w:r>
      <w:r>
        <w:rPr>
          <w:rFonts w:ascii="Times New Roman" w:hAnsi="Times New Roman" w:cs="Times New Roman"/>
          <w:lang w:val="en-GB"/>
        </w:rPr>
        <w:t xml:space="preserve">has been used </w:t>
      </w:r>
      <w:r w:rsidRPr="00085FA6">
        <w:rPr>
          <w:rFonts w:ascii="Times New Roman" w:hAnsi="Times New Roman" w:cs="Times New Roman"/>
          <w:lang w:val="en-GB"/>
        </w:rPr>
        <w:t xml:space="preserve">to </w:t>
      </w:r>
      <w:r>
        <w:rPr>
          <w:rFonts w:ascii="Times New Roman" w:hAnsi="Times New Roman" w:cs="Times New Roman"/>
          <w:lang w:val="en-GB"/>
        </w:rPr>
        <w:t>find</w:t>
      </w:r>
      <w:r w:rsidRPr="00085FA6">
        <w:rPr>
          <w:rFonts w:ascii="Times New Roman" w:hAnsi="Times New Roman" w:cs="Times New Roman"/>
          <w:lang w:val="en-GB"/>
        </w:rPr>
        <w:t xml:space="preserve"> the operating and maintenance costs for transmission of electricity. </w:t>
      </w:r>
      <w:r>
        <w:rPr>
          <w:rFonts w:ascii="Times New Roman" w:hAnsi="Times New Roman" w:cs="Times New Roman"/>
          <w:lang w:val="en-GB"/>
        </w:rPr>
        <w:t>The</w:t>
      </w:r>
      <w:r w:rsidRPr="00085FA6">
        <w:rPr>
          <w:rFonts w:ascii="Times New Roman" w:hAnsi="Times New Roman" w:cs="Times New Roman"/>
          <w:lang w:val="en-GB"/>
        </w:rPr>
        <w:t xml:space="preserve"> O&amp;M costs </w:t>
      </w:r>
      <w:r>
        <w:rPr>
          <w:rFonts w:ascii="Times New Roman" w:hAnsi="Times New Roman" w:cs="Times New Roman"/>
          <w:lang w:val="en-GB"/>
        </w:rPr>
        <w:t xml:space="preserve">are assumed to </w:t>
      </w:r>
      <w:r w:rsidRPr="00085FA6">
        <w:rPr>
          <w:rFonts w:ascii="Times New Roman" w:hAnsi="Times New Roman" w:cs="Times New Roman"/>
          <w:lang w:val="en-GB"/>
        </w:rPr>
        <w:t xml:space="preserve">consist of a fixed and a variable element. For onshore cables the total O&amp;M </w:t>
      </w:r>
      <w:r>
        <w:rPr>
          <w:rFonts w:ascii="Times New Roman" w:hAnsi="Times New Roman" w:cs="Times New Roman"/>
          <w:lang w:val="en-GB"/>
        </w:rPr>
        <w:t xml:space="preserve">cost </w:t>
      </w:r>
      <w:r w:rsidRPr="00085FA6">
        <w:rPr>
          <w:rFonts w:ascii="Times New Roman" w:hAnsi="Times New Roman" w:cs="Times New Roman"/>
          <w:lang w:val="en-GB"/>
        </w:rPr>
        <w:t xml:space="preserve">is 1.5 % of the total onshore investment costs, whereas for sea cables it is 5 % of the capital costs. </w:t>
      </w:r>
    </w:p>
    <w:p w:rsidR="00EA0538" w:rsidRPr="00085FA6" w:rsidRDefault="00EA0538" w:rsidP="00EA0538">
      <w:pPr>
        <w:pStyle w:val="Heading4"/>
        <w:jc w:val="both"/>
        <w:rPr>
          <w:rFonts w:ascii="Times New Roman" w:hAnsi="Times New Roman" w:cs="Times New Roman"/>
          <w:lang w:val="en-GB"/>
        </w:rPr>
      </w:pPr>
      <w:r>
        <w:rPr>
          <w:rFonts w:ascii="Times New Roman" w:eastAsiaTheme="minorEastAsia" w:hAnsi="Times New Roman" w:cs="Times New Roman"/>
          <w:b w:val="0"/>
          <w:bCs w:val="0"/>
          <w:i w:val="0"/>
          <w:iCs w:val="0"/>
          <w:color w:val="auto"/>
          <w:lang w:val="en-GB"/>
        </w:rPr>
        <w:br/>
      </w:r>
      <w:r w:rsidRPr="00085FA6">
        <w:rPr>
          <w:rFonts w:ascii="Times New Roman" w:hAnsi="Times New Roman" w:cs="Times New Roman"/>
          <w:lang w:val="en-GB"/>
        </w:rPr>
        <w:t>3.5.</w:t>
      </w:r>
      <w:r>
        <w:rPr>
          <w:rFonts w:ascii="Times New Roman" w:hAnsi="Times New Roman" w:cs="Times New Roman"/>
          <w:lang w:val="en-GB"/>
        </w:rPr>
        <w:t>3</w:t>
      </w:r>
      <w:r w:rsidRPr="00085FA6">
        <w:rPr>
          <w:rFonts w:ascii="Times New Roman" w:hAnsi="Times New Roman" w:cs="Times New Roman"/>
          <w:lang w:val="en-GB"/>
        </w:rPr>
        <w:t>.4 Costs of domestic transportation and distribution of electricity</w:t>
      </w:r>
    </w:p>
    <w:p w:rsidR="00EA0538" w:rsidRPr="00085FA6"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Estimates for the costs of national transport and distribution are mainly taken from the Household Energy Price Index, which covers EU 15 </w:t>
      </w:r>
      <w:sdt>
        <w:sdtPr>
          <w:rPr>
            <w:rFonts w:ascii="Times New Roman" w:hAnsi="Times New Roman" w:cs="Times New Roman"/>
            <w:lang w:val="en-GB"/>
          </w:rPr>
          <w:id w:val="-1663701055"/>
          <w:citation/>
        </w:sdtPr>
        <w:sdtContent>
          <w:r w:rsidRPr="00085FA6">
            <w:rPr>
              <w:rFonts w:ascii="Times New Roman" w:hAnsi="Times New Roman" w:cs="Times New Roman"/>
              <w:lang w:val="en-GB"/>
            </w:rPr>
            <w:fldChar w:fldCharType="begin"/>
          </w:r>
          <w:r w:rsidRPr="00085FA6">
            <w:rPr>
              <w:rFonts w:ascii="Times New Roman" w:hAnsi="Times New Roman" w:cs="Times New Roman"/>
              <w:lang w:val="en-US"/>
            </w:rPr>
            <w:instrText xml:space="preserve"> CITATION ECo12 \l 1044 </w:instrText>
          </w:r>
          <w:r w:rsidRPr="00085FA6">
            <w:rPr>
              <w:rFonts w:ascii="Times New Roman" w:hAnsi="Times New Roman" w:cs="Times New Roman"/>
              <w:lang w:val="en-GB"/>
            </w:rPr>
            <w:fldChar w:fldCharType="separate"/>
          </w:r>
          <w:r w:rsidRPr="00085FA6">
            <w:rPr>
              <w:rFonts w:ascii="Times New Roman" w:hAnsi="Times New Roman" w:cs="Times New Roman"/>
              <w:noProof/>
              <w:lang w:val="en-US"/>
            </w:rPr>
            <w:t>(E-Control/VaasaETT, 2012)</w:t>
          </w:r>
          <w:r w:rsidRPr="00085FA6">
            <w:rPr>
              <w:rFonts w:ascii="Times New Roman" w:hAnsi="Times New Roman" w:cs="Times New Roman"/>
              <w:lang w:val="en-GB"/>
            </w:rPr>
            <w:fldChar w:fldCharType="end"/>
          </w:r>
        </w:sdtContent>
      </w:sdt>
      <w:r w:rsidRPr="00085FA6">
        <w:rPr>
          <w:rFonts w:ascii="Times New Roman" w:hAnsi="Times New Roman" w:cs="Times New Roman"/>
          <w:lang w:val="en-GB"/>
        </w:rPr>
        <w:t xml:space="preserve">. For the remaining model countries, </w:t>
      </w:r>
      <w:r>
        <w:rPr>
          <w:rFonts w:ascii="Times New Roman" w:hAnsi="Times New Roman" w:cs="Times New Roman"/>
          <w:lang w:val="en-GB"/>
        </w:rPr>
        <w:t xml:space="preserve">data from </w:t>
      </w:r>
      <w:r w:rsidRPr="00085FA6">
        <w:rPr>
          <w:rFonts w:ascii="Times New Roman" w:hAnsi="Times New Roman" w:cs="Times New Roman"/>
          <w:lang w:val="en-GB"/>
        </w:rPr>
        <w:t xml:space="preserve">the national reporting for the 2010 Status Review on the Liberalisation and Implementation of the Regulatory Framework </w:t>
      </w:r>
      <w:r>
        <w:rPr>
          <w:rFonts w:ascii="Times New Roman" w:hAnsi="Times New Roman" w:cs="Times New Roman"/>
          <w:lang w:val="en-GB"/>
        </w:rPr>
        <w:t xml:space="preserve">(ERGEG 2010) </w:t>
      </w:r>
      <w:r w:rsidRPr="00085FA6">
        <w:rPr>
          <w:rFonts w:ascii="Times New Roman" w:hAnsi="Times New Roman" w:cs="Times New Roman"/>
          <w:lang w:val="en-GB"/>
        </w:rPr>
        <w:t xml:space="preserve">has been used. Both publications provide a breakdown of domestic consumers’ electricity bills including distribution costs for 2009. For the industry sector data from Eurostat for EU27 and Norway (Eurostat 2010) was used. </w:t>
      </w:r>
    </w:p>
    <w:p w:rsidR="00EA0538" w:rsidRPr="0076187D" w:rsidRDefault="00EA0538" w:rsidP="00EA0538">
      <w:pPr>
        <w:rPr>
          <w:rFonts w:ascii="Times New Roman" w:hAnsi="Times New Roman" w:cs="Times New Roman"/>
          <w:b/>
          <w:sz w:val="20"/>
          <w:szCs w:val="20"/>
          <w:lang w:val="en-US"/>
        </w:rPr>
      </w:pPr>
      <w:r>
        <w:rPr>
          <w:rFonts w:ascii="Times New Roman" w:hAnsi="Times New Roman" w:cs="Times New Roman"/>
          <w:b/>
          <w:lang w:val="en-US"/>
        </w:rPr>
        <w:lastRenderedPageBreak/>
        <w:br/>
      </w:r>
      <w:r w:rsidRPr="0076187D">
        <w:rPr>
          <w:rFonts w:ascii="Times New Roman" w:hAnsi="Times New Roman" w:cs="Times New Roman"/>
          <w:b/>
          <w:sz w:val="20"/>
          <w:szCs w:val="20"/>
          <w:lang w:val="en-US"/>
        </w:rPr>
        <w:t xml:space="preserve">Table </w:t>
      </w:r>
      <w:r>
        <w:rPr>
          <w:rFonts w:ascii="Times New Roman" w:hAnsi="Times New Roman" w:cs="Times New Roman"/>
          <w:b/>
          <w:sz w:val="20"/>
          <w:szCs w:val="20"/>
          <w:lang w:val="en-US"/>
        </w:rPr>
        <w:t>12</w:t>
      </w:r>
      <w:r w:rsidRPr="0076187D">
        <w:rPr>
          <w:rFonts w:ascii="Times New Roman" w:hAnsi="Times New Roman" w:cs="Times New Roman"/>
          <w:b/>
          <w:sz w:val="20"/>
          <w:szCs w:val="20"/>
          <w:lang w:val="en-US"/>
        </w:rPr>
        <w:t xml:space="preserve"> </w:t>
      </w:r>
      <w:r w:rsidRPr="0076187D">
        <w:rPr>
          <w:rFonts w:ascii="Times New Roman" w:hAnsi="Times New Roman" w:cs="Times New Roman"/>
          <w:b/>
          <w:sz w:val="20"/>
          <w:szCs w:val="20"/>
          <w:lang w:val="en-GB"/>
        </w:rPr>
        <w:t>Transmission costs for households and industry (in €/toe)</w:t>
      </w:r>
    </w:p>
    <w:tbl>
      <w:tblPr>
        <w:tblStyle w:val="LightShading-Accent1"/>
        <w:tblW w:w="0" w:type="auto"/>
        <w:tblLook w:val="04A0" w:firstRow="1" w:lastRow="0" w:firstColumn="1" w:lastColumn="0" w:noHBand="0" w:noVBand="1"/>
      </w:tblPr>
      <w:tblGrid>
        <w:gridCol w:w="1384"/>
        <w:gridCol w:w="1418"/>
        <w:gridCol w:w="1417"/>
        <w:gridCol w:w="1276"/>
        <w:gridCol w:w="1276"/>
        <w:gridCol w:w="1275"/>
        <w:gridCol w:w="1418"/>
      </w:tblGrid>
      <w:tr w:rsidR="00EA0538" w:rsidRPr="000233CC" w:rsidTr="005F3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Country</w:t>
            </w:r>
          </w:p>
        </w:tc>
        <w:tc>
          <w:tcPr>
            <w:tcW w:w="1418"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H</w:t>
            </w:r>
            <w:r w:rsidRPr="000233CC">
              <w:rPr>
                <w:rFonts w:ascii="Times New Roman" w:hAnsi="Times New Roman" w:cs="Times New Roman"/>
                <w:b w:val="0"/>
                <w:sz w:val="20"/>
                <w:szCs w:val="20"/>
                <w:lang w:val="en-GB"/>
              </w:rPr>
              <w:t>ousehold</w:t>
            </w:r>
          </w:p>
        </w:tc>
        <w:tc>
          <w:tcPr>
            <w:tcW w:w="1417"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I</w:t>
            </w:r>
            <w:r w:rsidRPr="000233CC">
              <w:rPr>
                <w:rFonts w:ascii="Times New Roman" w:hAnsi="Times New Roman" w:cs="Times New Roman"/>
                <w:b w:val="0"/>
                <w:sz w:val="20"/>
                <w:szCs w:val="20"/>
                <w:lang w:val="en-GB"/>
              </w:rPr>
              <w:t>ndustry</w:t>
            </w:r>
          </w:p>
        </w:tc>
        <w:tc>
          <w:tcPr>
            <w:tcW w:w="1276" w:type="dxa"/>
          </w:tcPr>
          <w:p w:rsidR="00EA0538" w:rsidRPr="000233CC"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p>
        </w:tc>
        <w:tc>
          <w:tcPr>
            <w:tcW w:w="1276" w:type="dxa"/>
          </w:tcPr>
          <w:p w:rsidR="00EA0538" w:rsidRPr="000233CC" w:rsidRDefault="00EA0538" w:rsidP="005F30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Country</w:t>
            </w:r>
          </w:p>
        </w:tc>
        <w:tc>
          <w:tcPr>
            <w:tcW w:w="1275"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H</w:t>
            </w:r>
            <w:r w:rsidRPr="000233CC">
              <w:rPr>
                <w:rFonts w:ascii="Times New Roman" w:hAnsi="Times New Roman" w:cs="Times New Roman"/>
                <w:b w:val="0"/>
                <w:sz w:val="20"/>
                <w:szCs w:val="20"/>
                <w:lang w:val="en-GB"/>
              </w:rPr>
              <w:t>ousehold</w:t>
            </w:r>
          </w:p>
        </w:tc>
        <w:tc>
          <w:tcPr>
            <w:tcW w:w="1418" w:type="dxa"/>
          </w:tcPr>
          <w:p w:rsidR="00EA0538" w:rsidRPr="000233CC" w:rsidRDefault="00EA0538" w:rsidP="005F30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Pr>
                <w:rFonts w:ascii="Times New Roman" w:hAnsi="Times New Roman" w:cs="Times New Roman"/>
                <w:b w:val="0"/>
                <w:sz w:val="20"/>
                <w:szCs w:val="20"/>
                <w:lang w:val="en-GB"/>
              </w:rPr>
              <w:t>I</w:t>
            </w:r>
            <w:r w:rsidRPr="000233CC">
              <w:rPr>
                <w:rFonts w:ascii="Times New Roman" w:hAnsi="Times New Roman" w:cs="Times New Roman"/>
                <w:b w:val="0"/>
                <w:sz w:val="20"/>
                <w:szCs w:val="20"/>
                <w:lang w:val="en-GB"/>
              </w:rPr>
              <w:t>ndustry</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at</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54.68</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19.20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ie</w:t>
            </w:r>
            <w:proofErr w:type="spellEnd"/>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62.41</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34.70</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be</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56.00</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24.30</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is</w:t>
            </w:r>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27.98</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27.98</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bg</w:t>
            </w:r>
            <w:proofErr w:type="spellEnd"/>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25.10</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13.30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it</w:t>
            </w:r>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44.20</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21.50</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ch</w:t>
            </w:r>
            <w:proofErr w:type="spellEnd"/>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54.68</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27.98</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lt</w:t>
            </w:r>
            <w:proofErr w:type="spellEnd"/>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32.96</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41.50</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cy</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42.37</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27.99</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lu</w:t>
            </w:r>
            <w:proofErr w:type="spellEnd"/>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74.32</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25.10</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cz</w:t>
            </w:r>
            <w:proofErr w:type="spellEnd"/>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42.22</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32.20</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lv</w:t>
            </w:r>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41.46</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31.30</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de</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56.10</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24.50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mt</w:t>
            </w:r>
            <w:proofErr w:type="spellEnd"/>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32.24</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22.00</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dk</w:t>
            </w:r>
            <w:proofErr w:type="spellEnd"/>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68.50</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39.00</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nl</w:t>
            </w:r>
            <w:proofErr w:type="spellEnd"/>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53.43</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27.98</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ee</w:t>
            </w:r>
            <w:proofErr w:type="spellEnd"/>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37.10</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26.80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no</w:t>
            </w:r>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29.40</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13.67</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es</w:t>
            </w:r>
            <w:proofErr w:type="spellEnd"/>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41.40</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32.00</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pl</w:t>
            </w:r>
            <w:proofErr w:type="spellEnd"/>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40.63</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28.00</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fi</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32.61</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16.80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pt</w:t>
            </w:r>
            <w:proofErr w:type="spellEnd"/>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51.40</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23.40</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fr</w:t>
            </w:r>
            <w:proofErr w:type="spellEnd"/>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37.35</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27.98</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ro</w:t>
            </w:r>
            <w:proofErr w:type="spellEnd"/>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49.11</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31.20</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gb</w:t>
            </w:r>
            <w:proofErr w:type="spellEnd"/>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28.19</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22.40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se</w:t>
            </w:r>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31.12</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21.20</w:t>
            </w:r>
          </w:p>
        </w:tc>
      </w:tr>
      <w:tr w:rsidR="00EA0538" w:rsidRPr="000233CC" w:rsidTr="005F3031">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r w:rsidRPr="000233CC">
              <w:rPr>
                <w:rFonts w:ascii="Times New Roman" w:hAnsi="Times New Roman" w:cs="Times New Roman"/>
                <w:b w:val="0"/>
                <w:sz w:val="20"/>
                <w:szCs w:val="20"/>
                <w:lang w:val="en-GB"/>
              </w:rPr>
              <w:t>gr</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37.68</w:t>
            </w:r>
          </w:p>
        </w:tc>
        <w:tc>
          <w:tcPr>
            <w:tcW w:w="1417"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24.50</w:t>
            </w: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si</w:t>
            </w:r>
            <w:proofErr w:type="spellEnd"/>
          </w:p>
        </w:tc>
        <w:tc>
          <w:tcPr>
            <w:tcW w:w="1275"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49.97</w:t>
            </w:r>
          </w:p>
        </w:tc>
        <w:tc>
          <w:tcPr>
            <w:tcW w:w="1418" w:type="dxa"/>
          </w:tcPr>
          <w:p w:rsidR="00EA0538" w:rsidRPr="000233CC" w:rsidRDefault="00EA0538" w:rsidP="005F303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20.00</w:t>
            </w:r>
          </w:p>
        </w:tc>
      </w:tr>
      <w:tr w:rsidR="00EA0538" w:rsidRPr="000233CC" w:rsidTr="005F3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A0538" w:rsidRPr="000233CC" w:rsidRDefault="00EA0538" w:rsidP="005F3031">
            <w:pPr>
              <w:rPr>
                <w:rFonts w:ascii="Times New Roman" w:hAnsi="Times New Roman" w:cs="Times New Roman"/>
                <w:b w:val="0"/>
                <w:sz w:val="20"/>
                <w:szCs w:val="20"/>
                <w:lang w:val="en-GB"/>
              </w:rPr>
            </w:pPr>
            <w:proofErr w:type="spellStart"/>
            <w:r w:rsidRPr="000233CC">
              <w:rPr>
                <w:rFonts w:ascii="Times New Roman" w:hAnsi="Times New Roman" w:cs="Times New Roman"/>
                <w:b w:val="0"/>
                <w:sz w:val="20"/>
                <w:szCs w:val="20"/>
                <w:lang w:val="en-GB"/>
              </w:rPr>
              <w:t>hu</w:t>
            </w:r>
            <w:proofErr w:type="spellEnd"/>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41.09</w:t>
            </w:r>
          </w:p>
        </w:tc>
        <w:tc>
          <w:tcPr>
            <w:tcW w:w="1417"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28.50</w:t>
            </w: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rsidR="00EA0538" w:rsidRPr="000233CC" w:rsidRDefault="00EA0538" w:rsidP="005F3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sidRPr="000233CC">
              <w:rPr>
                <w:rFonts w:ascii="Times New Roman" w:hAnsi="Times New Roman" w:cs="Times New Roman"/>
                <w:sz w:val="20"/>
                <w:szCs w:val="20"/>
                <w:lang w:val="en-GB"/>
              </w:rPr>
              <w:t>sk</w:t>
            </w:r>
            <w:proofErr w:type="spellEnd"/>
          </w:p>
        </w:tc>
        <w:tc>
          <w:tcPr>
            <w:tcW w:w="1275"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51.10</w:t>
            </w:r>
          </w:p>
        </w:tc>
        <w:tc>
          <w:tcPr>
            <w:tcW w:w="1418" w:type="dxa"/>
          </w:tcPr>
          <w:p w:rsidR="00EA0538" w:rsidRPr="000233CC" w:rsidRDefault="00EA0538" w:rsidP="005F303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0233CC">
              <w:rPr>
                <w:rFonts w:ascii="Times New Roman" w:hAnsi="Times New Roman" w:cs="Times New Roman"/>
                <w:sz w:val="20"/>
                <w:szCs w:val="20"/>
                <w:lang w:val="en-GB"/>
              </w:rPr>
              <w:t>52.00</w:t>
            </w:r>
          </w:p>
        </w:tc>
      </w:tr>
    </w:tbl>
    <w:p w:rsidR="00EA0538" w:rsidRPr="00085FA6" w:rsidRDefault="00EA0538" w:rsidP="00EA0538">
      <w:pPr>
        <w:rPr>
          <w:rFonts w:ascii="Times New Roman" w:hAnsi="Times New Roman" w:cs="Times New Roman"/>
          <w:lang w:val="en-GB"/>
        </w:rPr>
      </w:pPr>
    </w:p>
    <w:p w:rsidR="00EA0538" w:rsidRDefault="00EA0538" w:rsidP="00EA0538">
      <w:pPr>
        <w:jc w:val="both"/>
        <w:rPr>
          <w:rFonts w:ascii="Times New Roman" w:hAnsi="Times New Roman" w:cs="Times New Roman"/>
          <w:lang w:val="en-GB"/>
        </w:rPr>
      </w:pPr>
      <w:r w:rsidRPr="00085FA6">
        <w:rPr>
          <w:rFonts w:ascii="Times New Roman" w:hAnsi="Times New Roman" w:cs="Times New Roman"/>
          <w:lang w:val="en-GB"/>
        </w:rPr>
        <w:t xml:space="preserve">IEA has data for domestic losses in 2009. In the model it is assumed that the transport losses associated with the industry sector are 2 % and the residual loss is allocated to the household and service sector. </w:t>
      </w:r>
    </w:p>
    <w:p w:rsidR="00771431" w:rsidRPr="00EA0538" w:rsidRDefault="00771431">
      <w:pPr>
        <w:rPr>
          <w:lang w:val="en-GB"/>
        </w:rPr>
      </w:pPr>
    </w:p>
    <w:sectPr w:rsidR="00771431" w:rsidRPr="00EA0538" w:rsidSect="00EA05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38" w:rsidRDefault="00EA0538" w:rsidP="00EA0538">
      <w:pPr>
        <w:spacing w:after="0" w:line="240" w:lineRule="auto"/>
      </w:pPr>
      <w:r>
        <w:separator/>
      </w:r>
    </w:p>
  </w:endnote>
  <w:endnote w:type="continuationSeparator" w:id="0">
    <w:p w:rsidR="00EA0538" w:rsidRDefault="00EA0538" w:rsidP="00EA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38" w:rsidRDefault="00EA0538" w:rsidP="00EA0538">
      <w:pPr>
        <w:spacing w:after="0" w:line="240" w:lineRule="auto"/>
      </w:pPr>
      <w:r>
        <w:separator/>
      </w:r>
    </w:p>
  </w:footnote>
  <w:footnote w:type="continuationSeparator" w:id="0">
    <w:p w:rsidR="00EA0538" w:rsidRDefault="00EA0538" w:rsidP="00EA0538">
      <w:pPr>
        <w:spacing w:after="0" w:line="240" w:lineRule="auto"/>
      </w:pPr>
      <w:r>
        <w:continuationSeparator/>
      </w:r>
    </w:p>
  </w:footnote>
  <w:footnote w:id="1">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r w:rsidRPr="00085FA6">
        <w:rPr>
          <w:rFonts w:ascii="Times New Roman" w:hAnsi="Times New Roman" w:cs="Times New Roman"/>
          <w:lang w:val="en-GB"/>
        </w:rPr>
        <w:t>We have created a full set of prices, including hypothetical prices for sectors with zero consumption of an energy good, to avoid problems when solving the model. Generally, prices from other sectors within each country have been used where available.</w:t>
      </w:r>
    </w:p>
  </w:footnote>
  <w:footnote w:id="2">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According to the IEA, the cost data has been collected from published customs statistics, but it is not specified </w:t>
      </w:r>
      <w:r>
        <w:rPr>
          <w:rFonts w:ascii="Times New Roman" w:hAnsi="Times New Roman" w:cs="Times New Roman"/>
          <w:lang w:val="en-US"/>
        </w:rPr>
        <w:t>further</w:t>
      </w:r>
      <w:r w:rsidRPr="00085FA6">
        <w:rPr>
          <w:rFonts w:ascii="Times New Roman" w:hAnsi="Times New Roman" w:cs="Times New Roman"/>
          <w:lang w:val="en-US"/>
        </w:rPr>
        <w:t xml:space="preserve"> where the coal is delivered at this price. </w:t>
      </w:r>
    </w:p>
  </w:footnote>
  <w:footnote w:id="3">
    <w:p w:rsidR="00EA0538" w:rsidRPr="00085FA6" w:rsidRDefault="00EA0538" w:rsidP="00EA0538">
      <w:pPr>
        <w:pStyle w:val="FootnoteText"/>
        <w:rPr>
          <w:rFonts w:ascii="Times New Roman" w:hAnsi="Times New Roman" w:cs="Times New Roman"/>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The distribution cost is the cost of getting the product from the central node to the consumers. This cost varies between consumer groups and is typically higher for households than for industry. </w:t>
      </w:r>
    </w:p>
  </w:footnote>
  <w:footnote w:id="4">
    <w:p w:rsidR="00EA0538" w:rsidRPr="00085FA6" w:rsidRDefault="00EA0538" w:rsidP="00EA0538">
      <w:pPr>
        <w:pStyle w:val="FootnoteText"/>
        <w:rPr>
          <w:rFonts w:ascii="Times New Roman" w:hAnsi="Times New Roman" w:cs="Times New Roman"/>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w:t>
      </w:r>
      <w:hyperlink r:id="rId1" w:history="1">
        <w:r w:rsidRPr="00AC6C4B">
          <w:rPr>
            <w:rStyle w:val="Hyperlink"/>
            <w:rFonts w:ascii="Times New Roman" w:hAnsi="Times New Roman" w:cs="Times New Roman"/>
            <w:lang w:val="en-GB"/>
          </w:rPr>
          <w:t>http://e85bioethanol.com/2010/02/15/210-ft-az-e85/</w:t>
        </w:r>
      </w:hyperlink>
      <w:r>
        <w:rPr>
          <w:rFonts w:ascii="Times New Roman" w:hAnsi="Times New Roman" w:cs="Times New Roman"/>
          <w:lang w:val="en-GB"/>
        </w:rPr>
        <w:t xml:space="preserve">  provides prices for the majority of the model countries as of February 2010.</w:t>
      </w:r>
    </w:p>
  </w:footnote>
  <w:footnote w:id="5">
    <w:p w:rsidR="00EA0538" w:rsidRPr="00932E1D" w:rsidRDefault="00EA0538" w:rsidP="00EA0538">
      <w:pPr>
        <w:pStyle w:val="FootnoteText"/>
        <w:rPr>
          <w:lang w:val="en-US"/>
        </w:rPr>
      </w:pPr>
      <w:r>
        <w:rPr>
          <w:rStyle w:val="FootnoteReference"/>
        </w:rPr>
        <w:footnoteRef/>
      </w:r>
      <w:r w:rsidRPr="00932E1D">
        <w:rPr>
          <w:lang w:val="en-US"/>
        </w:rPr>
        <w:t xml:space="preserve"> </w:t>
      </w:r>
      <w:r w:rsidRPr="00085FA6">
        <w:rPr>
          <w:rFonts w:ascii="Times New Roman" w:hAnsi="Times New Roman" w:cs="Times New Roman"/>
          <w:lang w:val="en-GB"/>
        </w:rPr>
        <w:t>Not all of the reports have annual prices for 2009, so in some cases prices for 2008 have been used (the country reports that have time series give the impression that the price of pellets did not fluctuate very much between 2008 and 2009).</w:t>
      </w:r>
    </w:p>
  </w:footnote>
  <w:footnote w:id="6">
    <w:p w:rsidR="00EA0538" w:rsidRPr="008D158C" w:rsidRDefault="00EA0538" w:rsidP="00EA0538">
      <w:pPr>
        <w:pStyle w:val="FootnoteText"/>
        <w:rPr>
          <w:rFonts w:ascii="Times New Roman" w:hAnsi="Times New Roman" w:cs="Times New Roman"/>
          <w:lang w:val="en-US"/>
        </w:rPr>
      </w:pPr>
      <w:r w:rsidRPr="008D158C">
        <w:rPr>
          <w:rStyle w:val="FootnoteReference"/>
          <w:rFonts w:ascii="Times New Roman" w:hAnsi="Times New Roman" w:cs="Times New Roman"/>
        </w:rPr>
        <w:footnoteRef/>
      </w:r>
      <w:r w:rsidRPr="008D158C">
        <w:rPr>
          <w:rFonts w:ascii="Times New Roman" w:hAnsi="Times New Roman" w:cs="Times New Roman"/>
          <w:lang w:val="en-US"/>
        </w:rPr>
        <w:t xml:space="preserve"> It is assumed that there are no taxes for biomass, except VAT for household customers. </w:t>
      </w:r>
    </w:p>
  </w:footnote>
  <w:footnote w:id="7">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Found on Gazprom’s website: </w:t>
      </w:r>
      <w:hyperlink r:id="rId2" w:anchor="c326" w:history="1">
        <w:r w:rsidRPr="00AC6C4B">
          <w:rPr>
            <w:rStyle w:val="Hyperlink"/>
            <w:rFonts w:ascii="Times New Roman" w:hAnsi="Times New Roman" w:cs="Times New Roman"/>
            <w:lang w:val="en-US"/>
          </w:rPr>
          <w:t>http://eng.gazpromquestions.ru/?id=4#c326</w:t>
        </w:r>
      </w:hyperlink>
      <w:r>
        <w:rPr>
          <w:rFonts w:ascii="Times New Roman" w:hAnsi="Times New Roman" w:cs="Times New Roman"/>
          <w:lang w:val="en-US"/>
        </w:rPr>
        <w:t xml:space="preserve"> </w:t>
      </w:r>
    </w:p>
  </w:footnote>
  <w:footnote w:id="8">
    <w:p w:rsidR="00EA0538" w:rsidRPr="008C1C66" w:rsidRDefault="00EA0538" w:rsidP="00EA0538">
      <w:pPr>
        <w:pStyle w:val="FootnoteText"/>
        <w:rPr>
          <w:rFonts w:ascii="Times New Roman" w:hAnsi="Times New Roman" w:cs="Times New Roman"/>
          <w:lang w:val="en-US"/>
        </w:rPr>
      </w:pPr>
      <w:r w:rsidRPr="008C1C66">
        <w:rPr>
          <w:rStyle w:val="FootnoteReference"/>
          <w:rFonts w:ascii="Times New Roman" w:hAnsi="Times New Roman" w:cs="Times New Roman"/>
        </w:rPr>
        <w:footnoteRef/>
      </w:r>
      <w:r w:rsidRPr="008C1C66">
        <w:rPr>
          <w:rFonts w:ascii="Times New Roman" w:hAnsi="Times New Roman" w:cs="Times New Roman"/>
          <w:lang w:val="en-US"/>
        </w:rPr>
        <w:t xml:space="preserve"> </w:t>
      </w:r>
      <w:r w:rsidRPr="008C1C66">
        <w:rPr>
          <w:rFonts w:ascii="Times New Roman" w:hAnsi="Times New Roman" w:cs="Times New Roman"/>
          <w:lang w:val="en-GB"/>
        </w:rPr>
        <w:t xml:space="preserve">These original elasticities for coal, gas and oil were based on three sources; </w:t>
      </w:r>
      <w:proofErr w:type="spellStart"/>
      <w:r w:rsidRPr="008C1C66">
        <w:rPr>
          <w:rFonts w:ascii="Times New Roman" w:hAnsi="Times New Roman" w:cs="Times New Roman"/>
          <w:lang w:val="en-GB"/>
        </w:rPr>
        <w:t>the</w:t>
      </w:r>
      <w:proofErr w:type="spellEnd"/>
      <w:r w:rsidRPr="008C1C66">
        <w:rPr>
          <w:rFonts w:ascii="Times New Roman" w:hAnsi="Times New Roman" w:cs="Times New Roman"/>
          <w:lang w:val="en-GB"/>
        </w:rPr>
        <w:t xml:space="preserve"> SEEM model (</w:t>
      </w:r>
      <w:proofErr w:type="spellStart"/>
      <w:r w:rsidRPr="008C1C66">
        <w:rPr>
          <w:rFonts w:ascii="Times New Roman" w:hAnsi="Times New Roman" w:cs="Times New Roman"/>
          <w:lang w:val="en-GB"/>
        </w:rPr>
        <w:t>Brubakk</w:t>
      </w:r>
      <w:proofErr w:type="spellEnd"/>
      <w:r w:rsidRPr="008C1C66">
        <w:rPr>
          <w:rFonts w:ascii="Times New Roman" w:hAnsi="Times New Roman" w:cs="Times New Roman"/>
          <w:lang w:val="en-GB"/>
        </w:rPr>
        <w:t xml:space="preserve"> et al., 1995), the E3EM model (Barker, 1998) and </w:t>
      </w:r>
      <w:proofErr w:type="spellStart"/>
      <w:r w:rsidRPr="008C1C66">
        <w:rPr>
          <w:rFonts w:ascii="Times New Roman" w:hAnsi="Times New Roman" w:cs="Times New Roman"/>
          <w:lang w:val="en-GB"/>
        </w:rPr>
        <w:t>Franzen</w:t>
      </w:r>
      <w:proofErr w:type="spellEnd"/>
      <w:r w:rsidRPr="008C1C66">
        <w:rPr>
          <w:rFonts w:ascii="Times New Roman" w:hAnsi="Times New Roman" w:cs="Times New Roman"/>
          <w:lang w:val="en-GB"/>
        </w:rPr>
        <w:t xml:space="preserve"> and Sterner (1995).</w:t>
      </w:r>
    </w:p>
  </w:footnote>
  <w:footnote w:id="9">
    <w:p w:rsidR="00EA0538" w:rsidRPr="00085FA6" w:rsidRDefault="00EA0538" w:rsidP="00EA0538">
      <w:pPr>
        <w:pStyle w:val="FootnoteText"/>
        <w:rPr>
          <w:rFonts w:ascii="Times New Roman" w:hAnsi="Times New Roman" w:cs="Times New Roman"/>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Eurostat, National Accounts by 21 branches - aggregates at current prices [nama_nace21_c], extracted on 17.12.2012.</w:t>
      </w:r>
    </w:p>
  </w:footnote>
  <w:footnote w:id="10">
    <w:p w:rsidR="00EA0538" w:rsidRPr="00085FA6" w:rsidRDefault="00EA0538" w:rsidP="00EA0538">
      <w:pPr>
        <w:pStyle w:val="FootnoteText"/>
        <w:rPr>
          <w:rFonts w:ascii="Times New Roman" w:hAnsi="Times New Roman" w:cs="Times New Roman"/>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w:t>
      </w:r>
      <w:proofErr w:type="gramStart"/>
      <w:r w:rsidRPr="00085FA6">
        <w:rPr>
          <w:rFonts w:ascii="Times New Roman" w:hAnsi="Times New Roman" w:cs="Times New Roman"/>
          <w:lang w:val="en-GB"/>
        </w:rPr>
        <w:t>Eurostat, Final consumption expenditure [</w:t>
      </w:r>
      <w:proofErr w:type="spellStart"/>
      <w:r w:rsidRPr="00085FA6">
        <w:rPr>
          <w:rFonts w:ascii="Times New Roman" w:hAnsi="Times New Roman" w:cs="Times New Roman"/>
          <w:lang w:val="en-GB"/>
        </w:rPr>
        <w:t>indic_na</w:t>
      </w:r>
      <w:proofErr w:type="spellEnd"/>
      <w:r w:rsidRPr="00085FA6">
        <w:rPr>
          <w:rFonts w:ascii="Times New Roman" w:hAnsi="Times New Roman" w:cs="Times New Roman"/>
          <w:lang w:val="en-GB"/>
        </w:rPr>
        <w:t>], extracted on 13.12.2012.</w:t>
      </w:r>
      <w:proofErr w:type="gramEnd"/>
    </w:p>
  </w:footnote>
  <w:footnote w:id="11">
    <w:p w:rsidR="00EA0538" w:rsidRPr="00053178"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The model can be run with Russia as an exogenous or endogenous country. When Russia is endogenous it has three regions</w:t>
      </w:r>
      <w:r>
        <w:rPr>
          <w:rFonts w:ascii="Times New Roman" w:hAnsi="Times New Roman" w:cs="Times New Roman"/>
          <w:lang w:val="en-US"/>
        </w:rPr>
        <w:t xml:space="preserve">, </w:t>
      </w:r>
      <w:r w:rsidRPr="00053178">
        <w:rPr>
          <w:rFonts w:ascii="Times New Roman" w:hAnsi="Times New Roman" w:cs="Times New Roman"/>
          <w:lang w:val="en-US"/>
        </w:rPr>
        <w:t>see chapter 3.7.</w:t>
      </w:r>
    </w:p>
  </w:footnote>
  <w:footnote w:id="12">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Finnish data source:  </w:t>
      </w:r>
      <w:hyperlink r:id="rId3" w:history="1">
        <w:r w:rsidRPr="00AC6C4B">
          <w:rPr>
            <w:rStyle w:val="Hyperlink"/>
            <w:rFonts w:ascii="Times New Roman" w:hAnsi="Times New Roman" w:cs="Times New Roman"/>
            <w:lang w:val="en-US"/>
          </w:rPr>
          <w:t>h</w:t>
        </w:r>
        <w:r w:rsidRPr="00AC6C4B">
          <w:rPr>
            <w:rStyle w:val="Hyperlink"/>
            <w:rFonts w:ascii="Times New Roman" w:eastAsia="Times New Roman" w:hAnsi="Times New Roman" w:cs="Times New Roman"/>
            <w:lang w:val="en-US"/>
          </w:rPr>
          <w:t>ttp://wwwvms.vyh.fi/syke/tietoj/hbvmallit/porvoo18/reservoirs/FINNISHRESERVOIRCONTENT19782001.DAT</w:t>
        </w:r>
      </w:hyperlink>
      <w:r>
        <w:rPr>
          <w:rFonts w:ascii="Times New Roman" w:eastAsia="Times New Roman" w:hAnsi="Times New Roman" w:cs="Times New Roman"/>
          <w:lang w:val="en-US"/>
        </w:rPr>
        <w:t xml:space="preserve"> </w:t>
      </w:r>
      <w:r w:rsidRPr="00085FA6">
        <w:rPr>
          <w:rFonts w:ascii="Times New Roman" w:hAnsi="Times New Roman" w:cs="Times New Roman"/>
          <w:lang w:val="en-US"/>
        </w:rPr>
        <w:t xml:space="preserve"> </w:t>
      </w:r>
    </w:p>
  </w:footnote>
  <w:footnote w:id="13">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hyperlink r:id="rId4" w:history="1">
        <w:r w:rsidRPr="00085FA6">
          <w:rPr>
            <w:rFonts w:ascii="Times New Roman" w:hAnsi="Times New Roman" w:cs="Times New Roman"/>
            <w:color w:val="0000FF"/>
            <w:u w:val="single"/>
            <w:lang w:val="en-US"/>
          </w:rPr>
          <w:t>http://www.espon.eu/export/sites/default/Documents/Publications/MapsOfTheMonth/MapJanuary2011/PV-Potential.pdf</w:t>
        </w:r>
      </w:hyperlink>
    </w:p>
  </w:footnote>
  <w:footnote w:id="14">
    <w:p w:rsidR="00EA0538" w:rsidRPr="00586FA9" w:rsidRDefault="00EA0538" w:rsidP="00EA0538">
      <w:pPr>
        <w:pStyle w:val="FootnoteText"/>
        <w:rPr>
          <w:rFonts w:ascii="Times New Roman" w:hAnsi="Times New Roman" w:cs="Times New Roman"/>
          <w:lang w:val="en-US"/>
        </w:rPr>
      </w:pPr>
      <w:r w:rsidRPr="00586FA9">
        <w:rPr>
          <w:rStyle w:val="FootnoteReference"/>
          <w:rFonts w:ascii="Times New Roman" w:hAnsi="Times New Roman" w:cs="Times New Roman"/>
        </w:rPr>
        <w:footnoteRef/>
      </w:r>
      <w:r w:rsidRPr="00586FA9">
        <w:rPr>
          <w:rFonts w:ascii="Times New Roman" w:hAnsi="Times New Roman" w:cs="Times New Roman"/>
          <w:lang w:val="en-US"/>
        </w:rPr>
        <w:t xml:space="preserve"> Data taken from</w:t>
      </w:r>
      <w:r>
        <w:rPr>
          <w:rFonts w:ascii="Times New Roman" w:hAnsi="Times New Roman" w:cs="Times New Roman"/>
          <w:lang w:val="en-US"/>
        </w:rPr>
        <w:t>:</w:t>
      </w:r>
      <w:r w:rsidRPr="00586FA9">
        <w:rPr>
          <w:rFonts w:ascii="Times New Roman" w:hAnsi="Times New Roman" w:cs="Times New Roman"/>
          <w:lang w:val="en-US"/>
        </w:rPr>
        <w:t xml:space="preserve"> http://data.worldbank.org/indicator/AG.LND.AGRI.ZS</w:t>
      </w:r>
    </w:p>
  </w:footnote>
  <w:footnote w:id="15">
    <w:p w:rsidR="00EA0538" w:rsidRPr="00FF79C1"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FF79C1">
        <w:rPr>
          <w:rFonts w:ascii="Times New Roman" w:hAnsi="Times New Roman" w:cs="Times New Roman"/>
          <w:lang w:val="en-US"/>
        </w:rPr>
        <w:t xml:space="preserve"> </w:t>
      </w:r>
      <w:hyperlink r:id="rId5" w:history="1">
        <w:r w:rsidRPr="00FF79C1">
          <w:rPr>
            <w:rStyle w:val="Hyperlink"/>
            <w:rFonts w:ascii="Times New Roman" w:hAnsi="Times New Roman" w:cs="Times New Roman"/>
            <w:lang w:val="en-US"/>
          </w:rPr>
          <w:t>http://data.un.org/Data.aspx?d=EDATA&amp;f=cmID%3aEC</w:t>
        </w:r>
      </w:hyperlink>
      <w:r w:rsidRPr="00FF79C1">
        <w:rPr>
          <w:rFonts w:ascii="Times New Roman" w:hAnsi="Times New Roman" w:cs="Times New Roman"/>
          <w:lang w:val="en-US"/>
        </w:rPr>
        <w:t xml:space="preserve"> </w:t>
      </w:r>
    </w:p>
  </w:footnote>
  <w:footnote w:id="16">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r>
        <w:rPr>
          <w:rFonts w:ascii="Times New Roman" w:hAnsi="Times New Roman" w:cs="Times New Roman"/>
          <w:lang w:val="en-US"/>
        </w:rPr>
        <w:t>For the thermal technologies a 7</w:t>
      </w:r>
      <w:r w:rsidRPr="00085FA6">
        <w:rPr>
          <w:rFonts w:ascii="Times New Roman" w:hAnsi="Times New Roman" w:cs="Times New Roman"/>
          <w:lang w:val="en-US"/>
        </w:rPr>
        <w:t xml:space="preserve">0 % load factor has been assumed. </w:t>
      </w:r>
    </w:p>
  </w:footnote>
  <w:footnote w:id="17">
    <w:p w:rsidR="00EA0538" w:rsidRPr="00CE423F" w:rsidRDefault="00EA0538" w:rsidP="00EA0538">
      <w:pPr>
        <w:pStyle w:val="FootnoteText"/>
        <w:rPr>
          <w:rFonts w:ascii="Times New Roman" w:hAnsi="Times New Roman" w:cs="Times New Roman"/>
          <w:lang w:val="en-US"/>
        </w:rPr>
      </w:pPr>
      <w:r w:rsidRPr="00CE423F">
        <w:rPr>
          <w:rStyle w:val="FootnoteReference"/>
          <w:rFonts w:ascii="Times New Roman" w:hAnsi="Times New Roman" w:cs="Times New Roman"/>
        </w:rPr>
        <w:footnoteRef/>
      </w:r>
      <w:r w:rsidRPr="00CE423F">
        <w:rPr>
          <w:rFonts w:ascii="Times New Roman" w:hAnsi="Times New Roman" w:cs="Times New Roman"/>
          <w:lang w:val="en-US"/>
        </w:rPr>
        <w:t xml:space="preserve"> IEA ETSAP and IRENA provide intervals for costs, so for the existing technologies the higher end of the interval has been used, whereas for new plants the costs are assumed to be towards the lower end. </w:t>
      </w:r>
    </w:p>
  </w:footnote>
  <w:footnote w:id="18">
    <w:p w:rsidR="00EA0538" w:rsidRPr="00AC5431" w:rsidRDefault="00EA0538" w:rsidP="00EA0538">
      <w:pPr>
        <w:pStyle w:val="FootnoteText"/>
        <w:rPr>
          <w:rFonts w:ascii="Times New Roman" w:hAnsi="Times New Roman" w:cs="Times New Roman"/>
          <w:lang w:val="en-US"/>
        </w:rPr>
      </w:pPr>
      <w:r w:rsidRPr="00AC5431">
        <w:rPr>
          <w:rStyle w:val="FootnoteReference"/>
          <w:rFonts w:ascii="Times New Roman" w:hAnsi="Times New Roman" w:cs="Times New Roman"/>
        </w:rPr>
        <w:footnoteRef/>
      </w:r>
      <w:r w:rsidRPr="00AC5431">
        <w:rPr>
          <w:rFonts w:ascii="Times New Roman" w:hAnsi="Times New Roman" w:cs="Times New Roman"/>
          <w:lang w:val="en-US"/>
        </w:rPr>
        <w:t xml:space="preserve"> There is still considerable uncertainty surrounding the costs for CCS plants</w:t>
      </w:r>
      <w:r>
        <w:rPr>
          <w:rFonts w:ascii="Times New Roman" w:hAnsi="Times New Roman" w:cs="Times New Roman"/>
          <w:lang w:val="en-US"/>
        </w:rPr>
        <w:t xml:space="preserve"> and few studies on retrofitting</w:t>
      </w:r>
      <w:r w:rsidRPr="00AC5431">
        <w:rPr>
          <w:rFonts w:ascii="Times New Roman" w:hAnsi="Times New Roman" w:cs="Times New Roman"/>
          <w:lang w:val="en-US"/>
        </w:rPr>
        <w:t>. It does not appear reasonable that is it cheaper to run a</w:t>
      </w:r>
      <w:r>
        <w:rPr>
          <w:rFonts w:ascii="Times New Roman" w:hAnsi="Times New Roman" w:cs="Times New Roman"/>
          <w:lang w:val="en-US"/>
        </w:rPr>
        <w:t>n older</w:t>
      </w:r>
      <w:r w:rsidRPr="00AC5431">
        <w:rPr>
          <w:rFonts w:ascii="Times New Roman" w:hAnsi="Times New Roman" w:cs="Times New Roman"/>
          <w:lang w:val="en-US"/>
        </w:rPr>
        <w:t xml:space="preserve"> coal power plant that has been retrofitted, than a </w:t>
      </w:r>
      <w:r>
        <w:rPr>
          <w:rFonts w:ascii="Times New Roman" w:hAnsi="Times New Roman" w:cs="Times New Roman"/>
          <w:lang w:val="en-US"/>
        </w:rPr>
        <w:t xml:space="preserve">new </w:t>
      </w:r>
      <w:proofErr w:type="gramStart"/>
      <w:r>
        <w:rPr>
          <w:rFonts w:ascii="Times New Roman" w:hAnsi="Times New Roman" w:cs="Times New Roman"/>
          <w:lang w:val="en-US"/>
        </w:rPr>
        <w:t>greenfield</w:t>
      </w:r>
      <w:proofErr w:type="gramEnd"/>
      <w:r w:rsidRPr="00AC5431">
        <w:rPr>
          <w:rFonts w:ascii="Times New Roman" w:hAnsi="Times New Roman" w:cs="Times New Roman"/>
          <w:lang w:val="en-US"/>
        </w:rPr>
        <w:t xml:space="preserve"> CCS plant. </w:t>
      </w:r>
    </w:p>
  </w:footnote>
  <w:footnote w:id="19">
    <w:p w:rsidR="00EA0538" w:rsidRPr="00527896" w:rsidRDefault="00EA0538" w:rsidP="00EA0538">
      <w:pPr>
        <w:pStyle w:val="FootnoteText"/>
        <w:rPr>
          <w:rFonts w:ascii="Times New Roman" w:hAnsi="Times New Roman" w:cs="Times New Roman"/>
          <w:lang w:val="en-US"/>
        </w:rPr>
      </w:pPr>
      <w:r w:rsidRPr="00527896">
        <w:rPr>
          <w:rStyle w:val="FootnoteReference"/>
          <w:rFonts w:ascii="Times New Roman" w:hAnsi="Times New Roman" w:cs="Times New Roman"/>
        </w:rPr>
        <w:footnoteRef/>
      </w:r>
      <w:r w:rsidRPr="00527896">
        <w:rPr>
          <w:rFonts w:ascii="Times New Roman" w:hAnsi="Times New Roman" w:cs="Times New Roman"/>
          <w:lang w:val="en-US"/>
        </w:rPr>
        <w:t xml:space="preserve"> Ramping load gradients are linked to the time needed to adjust the production level. For a detailed discussion see </w:t>
      </w:r>
      <w:proofErr w:type="spellStart"/>
      <w:r w:rsidRPr="00527896">
        <w:rPr>
          <w:rFonts w:ascii="Times New Roman" w:hAnsi="Times New Roman" w:cs="Times New Roman"/>
          <w:lang w:val="en-US"/>
        </w:rPr>
        <w:t>Schröder</w:t>
      </w:r>
      <w:proofErr w:type="spellEnd"/>
      <w:r w:rsidRPr="00527896">
        <w:rPr>
          <w:rFonts w:ascii="Times New Roman" w:hAnsi="Times New Roman" w:cs="Times New Roman"/>
          <w:lang w:val="en-US"/>
        </w:rPr>
        <w:t xml:space="preserve"> et al. (2013). </w:t>
      </w:r>
    </w:p>
  </w:footnote>
  <w:footnote w:id="20">
    <w:p w:rsidR="00EA0538" w:rsidRPr="00527896" w:rsidRDefault="00EA0538" w:rsidP="00EA0538">
      <w:pPr>
        <w:pStyle w:val="FootnoteText"/>
        <w:rPr>
          <w:rFonts w:ascii="Times New Roman" w:hAnsi="Times New Roman" w:cs="Times New Roman"/>
          <w:lang w:val="en-US"/>
        </w:rPr>
      </w:pPr>
      <w:r w:rsidRPr="00527896">
        <w:rPr>
          <w:rStyle w:val="FootnoteReference"/>
          <w:rFonts w:ascii="Times New Roman" w:hAnsi="Times New Roman" w:cs="Times New Roman"/>
        </w:rPr>
        <w:footnoteRef/>
      </w:r>
      <w:r w:rsidRPr="00EA0538">
        <w:rPr>
          <w:rFonts w:ascii="Times New Roman" w:hAnsi="Times New Roman" w:cs="Times New Roman"/>
          <w:lang w:val="en-US"/>
        </w:rPr>
        <w:t xml:space="preserve"> See for instance Kumar et al. </w:t>
      </w:r>
      <w:r w:rsidRPr="00527896">
        <w:rPr>
          <w:rFonts w:ascii="Times New Roman" w:hAnsi="Times New Roman" w:cs="Times New Roman"/>
          <w:lang w:val="en-US"/>
        </w:rPr>
        <w:t xml:space="preserve">(2011) for a discussion on start-up modeling. </w:t>
      </w:r>
    </w:p>
  </w:footnote>
  <w:footnote w:id="21">
    <w:p w:rsidR="00EA0538" w:rsidRPr="00527896" w:rsidRDefault="00EA0538" w:rsidP="00EA0538">
      <w:pPr>
        <w:pStyle w:val="FootnoteText"/>
        <w:rPr>
          <w:rFonts w:ascii="Times New Roman" w:hAnsi="Times New Roman" w:cs="Times New Roman"/>
          <w:lang w:val="en-US"/>
        </w:rPr>
      </w:pPr>
      <w:r w:rsidRPr="00527896">
        <w:rPr>
          <w:rStyle w:val="FootnoteReference"/>
          <w:rFonts w:ascii="Times New Roman" w:hAnsi="Times New Roman" w:cs="Times New Roman"/>
        </w:rPr>
        <w:footnoteRef/>
      </w:r>
      <w:r w:rsidRPr="00527896">
        <w:rPr>
          <w:rFonts w:ascii="Times New Roman" w:hAnsi="Times New Roman" w:cs="Times New Roman"/>
          <w:lang w:val="en-US"/>
        </w:rPr>
        <w:t xml:space="preserve"> These costs are also used by </w:t>
      </w:r>
      <w:proofErr w:type="spellStart"/>
      <w:r w:rsidRPr="00527896">
        <w:rPr>
          <w:rFonts w:ascii="Times New Roman" w:hAnsi="Times New Roman" w:cs="Times New Roman"/>
          <w:lang w:val="en-US"/>
        </w:rPr>
        <w:t>Abrell</w:t>
      </w:r>
      <w:proofErr w:type="spellEnd"/>
      <w:r w:rsidRPr="00527896">
        <w:rPr>
          <w:rFonts w:ascii="Times New Roman" w:hAnsi="Times New Roman" w:cs="Times New Roman"/>
          <w:lang w:val="en-US"/>
        </w:rPr>
        <w:t xml:space="preserve"> (2008).</w:t>
      </w:r>
    </w:p>
  </w:footnote>
  <w:footnote w:id="22">
    <w:p w:rsidR="00EA0538" w:rsidRPr="00527896" w:rsidRDefault="00EA0538" w:rsidP="00EA0538">
      <w:pPr>
        <w:pStyle w:val="FootnoteText"/>
        <w:rPr>
          <w:rFonts w:ascii="Times New Roman" w:hAnsi="Times New Roman" w:cs="Times New Roman"/>
          <w:lang w:val="en-US"/>
        </w:rPr>
      </w:pPr>
      <w:r w:rsidRPr="00527896">
        <w:rPr>
          <w:rStyle w:val="FootnoteReference"/>
          <w:rFonts w:ascii="Times New Roman" w:hAnsi="Times New Roman" w:cs="Times New Roman"/>
        </w:rPr>
        <w:footnoteRef/>
      </w:r>
      <w:r w:rsidRPr="00527896">
        <w:rPr>
          <w:rFonts w:ascii="Times New Roman" w:hAnsi="Times New Roman" w:cs="Times New Roman"/>
          <w:lang w:val="en-US"/>
        </w:rPr>
        <w:t xml:space="preserve"> </w:t>
      </w:r>
      <w:proofErr w:type="spellStart"/>
      <w:r w:rsidRPr="00527896">
        <w:rPr>
          <w:rFonts w:ascii="Times New Roman" w:hAnsi="Times New Roman" w:cs="Times New Roman"/>
          <w:lang w:val="en-GB"/>
        </w:rPr>
        <w:t>Schröder</w:t>
      </w:r>
      <w:proofErr w:type="spellEnd"/>
      <w:r w:rsidRPr="00527896">
        <w:rPr>
          <w:rFonts w:ascii="Times New Roman" w:hAnsi="Times New Roman" w:cs="Times New Roman"/>
          <w:lang w:val="en-GB"/>
        </w:rPr>
        <w:t xml:space="preserve"> et al. (2013) includes an overview of some additional sources for the three different types of start-ups.</w:t>
      </w:r>
    </w:p>
  </w:footnote>
  <w:footnote w:id="23">
    <w:p w:rsidR="00EA0538" w:rsidRPr="006A7C96" w:rsidRDefault="00EA0538" w:rsidP="00EA0538">
      <w:pPr>
        <w:pStyle w:val="FootnoteText"/>
        <w:rPr>
          <w:rFonts w:ascii="Times New Roman" w:hAnsi="Times New Roman" w:cs="Times New Roman"/>
          <w:color w:val="FF0000"/>
          <w:lang w:val="en-US"/>
        </w:rPr>
      </w:pPr>
      <w:r w:rsidRPr="00EA0538">
        <w:rPr>
          <w:rStyle w:val="FootnoteReference"/>
          <w:rFonts w:ascii="Times New Roman" w:hAnsi="Times New Roman" w:cs="Times New Roman"/>
        </w:rPr>
        <w:footnoteRef/>
      </w:r>
      <w:r w:rsidRPr="00EA0538">
        <w:rPr>
          <w:rFonts w:ascii="Times New Roman" w:hAnsi="Times New Roman" w:cs="Times New Roman"/>
          <w:lang w:val="en-US"/>
        </w:rPr>
        <w:t xml:space="preserve"> The default is that investment in new nuclear power capacity is not allowed. </w:t>
      </w:r>
    </w:p>
  </w:footnote>
  <w:footnote w:id="24">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All costs are in 2009 Euro. When converting we have used Eurostat HCPI for inflation and exchange rates for 2009 taken from IEA Energy Prices and Taxes 2011.</w:t>
      </w:r>
    </w:p>
  </w:footnote>
  <w:footnote w:id="25">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There have been reports of the two EPRs currently under construction in France and Finland running over time and over budget estimate (“New nuclear power in Europe – will Finland show the way”, European Energy Review 10 January 2013). This means that we might be underestimating the costs by using a low</w:t>
      </w:r>
      <w:r>
        <w:rPr>
          <w:rFonts w:ascii="Times New Roman" w:hAnsi="Times New Roman" w:cs="Times New Roman"/>
          <w:lang w:val="en-US"/>
        </w:rPr>
        <w:t xml:space="preserve"> estimate</w:t>
      </w:r>
      <w:r w:rsidRPr="00085FA6">
        <w:rPr>
          <w:rFonts w:ascii="Times New Roman" w:hAnsi="Times New Roman" w:cs="Times New Roman"/>
          <w:lang w:val="en-US"/>
        </w:rPr>
        <w:t xml:space="preserve">. However, because these reactors are first of a kind, it is reasonable to assume that costs will fall for future reactors. </w:t>
      </w:r>
    </w:p>
  </w:footnote>
  <w:footnote w:id="26">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hyperlink r:id="rId6" w:history="1">
        <w:r w:rsidRPr="00AC6C4B">
          <w:rPr>
            <w:rStyle w:val="Hyperlink"/>
            <w:rFonts w:ascii="Times New Roman" w:hAnsi="Times New Roman" w:cs="Times New Roman"/>
            <w:lang w:val="en-US"/>
          </w:rPr>
          <w:t>http://www.irena.org/menu/index.aspx?mnu=Subcat&amp;PriMenuID=36&amp;CatID=141&amp;SubcatID=283</w:t>
        </w:r>
      </w:hyperlink>
      <w:r>
        <w:rPr>
          <w:rFonts w:ascii="Times New Roman" w:hAnsi="Times New Roman" w:cs="Times New Roman"/>
          <w:lang w:val="en-US"/>
        </w:rPr>
        <w:t xml:space="preserve"> </w:t>
      </w:r>
    </w:p>
  </w:footnote>
  <w:footnote w:id="27">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IEA ETSAP Technology Brief </w:t>
      </w:r>
      <w:proofErr w:type="gramStart"/>
      <w:r w:rsidRPr="00085FA6">
        <w:rPr>
          <w:rFonts w:ascii="Times New Roman" w:hAnsi="Times New Roman" w:cs="Times New Roman"/>
          <w:lang w:val="en-US"/>
        </w:rPr>
        <w:t>E05,</w:t>
      </w:r>
      <w:proofErr w:type="gramEnd"/>
      <w:r w:rsidRPr="00085FA6">
        <w:rPr>
          <w:rFonts w:ascii="Times New Roman" w:hAnsi="Times New Roman" w:cs="Times New Roman"/>
          <w:lang w:val="en-US"/>
        </w:rPr>
        <w:t xml:space="preserve"> May 2010. </w:t>
      </w:r>
    </w:p>
  </w:footnote>
  <w:footnote w:id="28">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IEA ETSAP Technology Brief </w:t>
      </w:r>
      <w:proofErr w:type="gramStart"/>
      <w:r w:rsidRPr="00085FA6">
        <w:rPr>
          <w:rFonts w:ascii="Times New Roman" w:hAnsi="Times New Roman" w:cs="Times New Roman"/>
          <w:lang w:val="en-US"/>
        </w:rPr>
        <w:t>E12,</w:t>
      </w:r>
      <w:proofErr w:type="gramEnd"/>
      <w:r w:rsidRPr="00085FA6">
        <w:rPr>
          <w:rFonts w:ascii="Times New Roman" w:hAnsi="Times New Roman" w:cs="Times New Roman"/>
          <w:lang w:val="en-US"/>
        </w:rPr>
        <w:t xml:space="preserve"> May 2010. </w:t>
      </w:r>
    </w:p>
  </w:footnote>
  <w:footnote w:id="29">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The data from Mott MacDonald are for “nth of a kind plant” in their medium scenario.</w:t>
      </w:r>
    </w:p>
  </w:footnote>
  <w:footnote w:id="30">
    <w:p w:rsidR="00EA0538" w:rsidRPr="00890D79" w:rsidRDefault="00EA0538" w:rsidP="00EA0538">
      <w:pPr>
        <w:pStyle w:val="FootnoteText"/>
        <w:rPr>
          <w:rFonts w:ascii="Times New Roman" w:hAnsi="Times New Roman" w:cs="Times New Roman"/>
          <w:lang w:val="en-US"/>
        </w:rPr>
      </w:pPr>
      <w:r w:rsidRPr="00890D79">
        <w:rPr>
          <w:rStyle w:val="FootnoteReference"/>
          <w:rFonts w:ascii="Times New Roman" w:hAnsi="Times New Roman" w:cs="Times New Roman"/>
        </w:rPr>
        <w:footnoteRef/>
      </w:r>
      <w:r w:rsidRPr="00890D79">
        <w:rPr>
          <w:rFonts w:ascii="Times New Roman" w:hAnsi="Times New Roman" w:cs="Times New Roman"/>
          <w:lang w:val="en-US"/>
        </w:rPr>
        <w:t xml:space="preserve"> The data from </w:t>
      </w:r>
      <w:proofErr w:type="spellStart"/>
      <w:r w:rsidRPr="00890D79">
        <w:rPr>
          <w:rFonts w:ascii="Times New Roman" w:hAnsi="Times New Roman" w:cs="Times New Roman"/>
          <w:lang w:val="en-US"/>
        </w:rPr>
        <w:t>Schröder</w:t>
      </w:r>
      <w:proofErr w:type="spellEnd"/>
      <w:r w:rsidRPr="00890D79">
        <w:rPr>
          <w:rFonts w:ascii="Times New Roman" w:hAnsi="Times New Roman" w:cs="Times New Roman"/>
          <w:lang w:val="en-US"/>
        </w:rPr>
        <w:t xml:space="preserve"> et al. includes decommissioning and waste disposal. </w:t>
      </w:r>
    </w:p>
  </w:footnote>
  <w:footnote w:id="31">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hyperlink r:id="rId7" w:history="1">
        <w:r w:rsidRPr="00085FA6">
          <w:rPr>
            <w:rFonts w:ascii="Times New Roman" w:hAnsi="Times New Roman" w:cs="Times New Roman"/>
            <w:color w:val="0000FF"/>
            <w:u w:val="single"/>
            <w:lang w:val="en-GB"/>
          </w:rPr>
          <w:t>http://www.globalccsinstitute.com/understanding-ccs</w:t>
        </w:r>
      </w:hyperlink>
    </w:p>
  </w:footnote>
  <w:footnote w:id="32">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r w:rsidRPr="00085FA6">
        <w:rPr>
          <w:rFonts w:ascii="Times New Roman" w:hAnsi="Times New Roman" w:cs="Times New Roman"/>
          <w:lang w:val="en-GB"/>
        </w:rPr>
        <w:t xml:space="preserve">The ZEP report compares several studies on the costs of CCS </w:t>
      </w:r>
      <w:proofErr w:type="gramStart"/>
      <w:r w:rsidRPr="00085FA6">
        <w:rPr>
          <w:rFonts w:ascii="Times New Roman" w:hAnsi="Times New Roman" w:cs="Times New Roman"/>
          <w:lang w:val="en-GB"/>
        </w:rPr>
        <w:t>greenfield</w:t>
      </w:r>
      <w:proofErr w:type="gramEnd"/>
      <w:r w:rsidRPr="00085FA6">
        <w:rPr>
          <w:rFonts w:ascii="Times New Roman" w:hAnsi="Times New Roman" w:cs="Times New Roman"/>
          <w:lang w:val="en-GB"/>
        </w:rPr>
        <w:t xml:space="preserve"> power plants. Com</w:t>
      </w:r>
      <w:r>
        <w:rPr>
          <w:rFonts w:ascii="Times New Roman" w:hAnsi="Times New Roman" w:cs="Times New Roman"/>
          <w:lang w:val="en-GB"/>
        </w:rPr>
        <w:t xml:space="preserve">pared to the other studies, </w:t>
      </w:r>
      <w:r w:rsidRPr="00085FA6">
        <w:rPr>
          <w:rFonts w:ascii="Times New Roman" w:hAnsi="Times New Roman" w:cs="Times New Roman"/>
          <w:lang w:val="en-GB"/>
        </w:rPr>
        <w:t>ZEPs costs are at the lower end of the scale. This is partly due to some of the estimates being older, and probably also to the difference in type of power plants. Because the technology is still new and untested in full-scale plants it is to be expected that the estimates differ.</w:t>
      </w:r>
    </w:p>
  </w:footnote>
  <w:footnote w:id="33">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r w:rsidRPr="00085FA6">
        <w:rPr>
          <w:rFonts w:ascii="Times New Roman" w:hAnsi="Times New Roman" w:cs="Times New Roman"/>
          <w:lang w:val="en-GB"/>
        </w:rPr>
        <w:t>The IEA report Power Generation from Coal (2011) supports our coal plant choice by describing IGCC as “well placed to embrace CO</w:t>
      </w:r>
      <w:r w:rsidRPr="00085FA6">
        <w:rPr>
          <w:rFonts w:ascii="Times New Roman" w:hAnsi="Times New Roman" w:cs="Times New Roman"/>
          <w:vertAlign w:val="subscript"/>
          <w:lang w:val="en-GB"/>
        </w:rPr>
        <w:t>2</w:t>
      </w:r>
      <w:r w:rsidRPr="00085FA6">
        <w:rPr>
          <w:rFonts w:ascii="Times New Roman" w:hAnsi="Times New Roman" w:cs="Times New Roman"/>
          <w:lang w:val="en-GB"/>
        </w:rPr>
        <w:t>-capture” and that the cost of CCS with this type of power plant is generally expected to be lower than for pulverised coal systems.</w:t>
      </w:r>
    </w:p>
  </w:footnote>
  <w:footnote w:id="34">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r w:rsidRPr="00085FA6">
        <w:rPr>
          <w:rFonts w:ascii="Times New Roman" w:hAnsi="Times New Roman" w:cs="Times New Roman"/>
          <w:lang w:val="en-GB"/>
        </w:rPr>
        <w:t>An alternative to pipeline transportation of the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is using ship. Transportation costs with ship are less dependent on distance and on the scale of the transport. However, to transport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by ship one has to factor in the costs of liquefaction.</w:t>
      </w:r>
    </w:p>
  </w:footnote>
  <w:footnote w:id="35">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r w:rsidRPr="00085FA6">
        <w:rPr>
          <w:rFonts w:ascii="Times New Roman" w:hAnsi="Times New Roman" w:cs="Times New Roman"/>
          <w:lang w:val="en-GB"/>
        </w:rPr>
        <w:t xml:space="preserve">It is assumed that the 20 </w:t>
      </w:r>
      <w:proofErr w:type="spellStart"/>
      <w:r w:rsidRPr="00085FA6">
        <w:rPr>
          <w:rFonts w:ascii="Times New Roman" w:hAnsi="Times New Roman" w:cs="Times New Roman"/>
          <w:lang w:val="en-GB"/>
        </w:rPr>
        <w:t>Mtpa</w:t>
      </w:r>
      <w:proofErr w:type="spellEnd"/>
      <w:r w:rsidRPr="00085FA6">
        <w:rPr>
          <w:rFonts w:ascii="Times New Roman" w:hAnsi="Times New Roman" w:cs="Times New Roman"/>
          <w:lang w:val="en-GB"/>
        </w:rPr>
        <w:t xml:space="preserve"> pipeline can serve a cluster of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sources and that it has double feeders from the source to the pipeline and double distribution pipelines.</w:t>
      </w:r>
    </w:p>
  </w:footnote>
  <w:footnote w:id="36">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According to the Special </w:t>
      </w:r>
      <w:proofErr w:type="spellStart"/>
      <w:r w:rsidRPr="00085FA6">
        <w:rPr>
          <w:rFonts w:ascii="Times New Roman" w:hAnsi="Times New Roman" w:cs="Times New Roman"/>
          <w:lang w:val="en-US"/>
        </w:rPr>
        <w:t>Eurobarometer</w:t>
      </w:r>
      <w:proofErr w:type="spellEnd"/>
      <w:r w:rsidRPr="00085FA6">
        <w:rPr>
          <w:rFonts w:ascii="Times New Roman" w:hAnsi="Times New Roman" w:cs="Times New Roman"/>
          <w:lang w:val="en-US"/>
        </w:rPr>
        <w:t xml:space="preserve"> (European Commission, 2011), six out of ten people in Europe expressed concerned when asked how they would feel about a deep underground CO</w:t>
      </w:r>
      <w:r w:rsidRPr="00085FA6">
        <w:rPr>
          <w:rFonts w:ascii="Times New Roman" w:hAnsi="Times New Roman" w:cs="Times New Roman"/>
          <w:vertAlign w:val="subscript"/>
          <w:lang w:val="en-US"/>
        </w:rPr>
        <w:t>2</w:t>
      </w:r>
      <w:r w:rsidRPr="00085FA6">
        <w:rPr>
          <w:rFonts w:ascii="Times New Roman" w:hAnsi="Times New Roman" w:cs="Times New Roman"/>
          <w:lang w:val="en-US"/>
        </w:rPr>
        <w:t xml:space="preserve"> storage site within 5 km of their home. For an overview of studies looking at public perception and acceptance of CO</w:t>
      </w:r>
      <w:r w:rsidRPr="00085FA6">
        <w:rPr>
          <w:rFonts w:ascii="Times New Roman" w:hAnsi="Times New Roman" w:cs="Times New Roman"/>
          <w:vertAlign w:val="subscript"/>
          <w:lang w:val="en-US"/>
        </w:rPr>
        <w:t>2</w:t>
      </w:r>
      <w:r w:rsidRPr="00085FA6">
        <w:rPr>
          <w:rFonts w:ascii="Times New Roman" w:hAnsi="Times New Roman" w:cs="Times New Roman"/>
          <w:lang w:val="en-US"/>
        </w:rPr>
        <w:t xml:space="preserve"> storage see IPCC (2005).</w:t>
      </w:r>
    </w:p>
  </w:footnote>
  <w:footnote w:id="37">
    <w:p w:rsidR="00EA0538" w:rsidRPr="00085FA6" w:rsidRDefault="00EA0538" w:rsidP="00EA0538">
      <w:pPr>
        <w:spacing w:after="0" w:line="240" w:lineRule="auto"/>
        <w:rPr>
          <w:rFonts w:ascii="Times New Roman" w:hAnsi="Times New Roman" w:cs="Times New Roman"/>
          <w:lang w:val="en-US"/>
        </w:rPr>
      </w:pPr>
      <w:r w:rsidRPr="00085FA6">
        <w:rPr>
          <w:rStyle w:val="FootnoteReference"/>
          <w:rFonts w:ascii="Times New Roman" w:hAnsi="Times New Roman" w:cs="Times New Roman"/>
          <w:sz w:val="20"/>
          <w:szCs w:val="20"/>
        </w:rPr>
        <w:footnoteRef/>
      </w:r>
      <w:r w:rsidRPr="00085FA6">
        <w:rPr>
          <w:rFonts w:ascii="Times New Roman" w:hAnsi="Times New Roman" w:cs="Times New Roman"/>
          <w:sz w:val="20"/>
          <w:szCs w:val="20"/>
          <w:lang w:val="en-US"/>
        </w:rPr>
        <w:t xml:space="preserve"> None of the above estimates include costs for monitoring the storage sites. IPCC (2007) estimates it to lie between 0.05 and 0.09 €/tCO</w:t>
      </w:r>
      <w:r w:rsidRPr="00085FA6">
        <w:rPr>
          <w:rFonts w:ascii="Times New Roman" w:hAnsi="Times New Roman" w:cs="Times New Roman"/>
          <w:sz w:val="20"/>
          <w:szCs w:val="20"/>
          <w:vertAlign w:val="subscript"/>
          <w:lang w:val="en-US"/>
        </w:rPr>
        <w:t>2</w:t>
      </w:r>
      <w:r w:rsidRPr="00085FA6">
        <w:rPr>
          <w:rFonts w:ascii="Times New Roman" w:hAnsi="Times New Roman" w:cs="Times New Roman"/>
          <w:sz w:val="20"/>
          <w:szCs w:val="20"/>
          <w:lang w:val="en-US"/>
        </w:rPr>
        <w:t>.</w:t>
      </w:r>
    </w:p>
  </w:footnote>
  <w:footnote w:id="38">
    <w:p w:rsidR="00EA0538" w:rsidRPr="00085FA6" w:rsidRDefault="00EA0538" w:rsidP="00EA0538">
      <w:pPr>
        <w:pStyle w:val="FootnoteText"/>
        <w:rPr>
          <w:rFonts w:ascii="Times New Roman" w:hAnsi="Times New Roman" w:cs="Times New Roman"/>
          <w:lang w:val="en-GB"/>
        </w:rPr>
      </w:pPr>
      <w:r w:rsidRPr="00085FA6">
        <w:rPr>
          <w:rStyle w:val="FootnoteReference"/>
          <w:rFonts w:ascii="Times New Roman" w:hAnsi="Times New Roman" w:cs="Times New Roman"/>
          <w:lang w:val="en-GB"/>
        </w:rPr>
        <w:footnoteRef/>
      </w:r>
      <w:r w:rsidRPr="00085FA6">
        <w:rPr>
          <w:rFonts w:ascii="Times New Roman" w:hAnsi="Times New Roman" w:cs="Times New Roman"/>
          <w:lang w:val="en-GB"/>
        </w:rPr>
        <w:t xml:space="preserve"> In the literature there is also reference to so-called CCS-Ready plants (CCSR). The Global CCS Institute, IEA and the Carbon Sequestration Leadership Forum (CSLF) provides the following definition: “A CCS Ready facility is a large-scale industrial or power source of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which could and is intended to be retrofitted with CCS technology when the necessary regulatory and economic drivers are in place. The aim of building new facilities or modifying existing facilities to be CCS Ready is to reduce the risk of carbon emission lock-in or of being unable to fully utilise the facilities in the future without CCS (stranded assets). CCS Ready is not a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mitigation option, but a way to facilitate CO</w:t>
      </w:r>
      <w:r w:rsidRPr="00085FA6">
        <w:rPr>
          <w:rFonts w:ascii="Times New Roman" w:hAnsi="Times New Roman" w:cs="Times New Roman"/>
          <w:vertAlign w:val="subscript"/>
          <w:lang w:val="en-GB"/>
        </w:rPr>
        <w:t>2</w:t>
      </w:r>
      <w:r w:rsidRPr="00085FA6">
        <w:rPr>
          <w:rFonts w:ascii="Times New Roman" w:hAnsi="Times New Roman" w:cs="Times New Roman"/>
          <w:lang w:val="en-GB"/>
        </w:rPr>
        <w:t xml:space="preserve"> mitigation in the future. CCSR ceases to be applicable in jurisdictions where the necessary drivers are already in place, or once they come in place”. </w:t>
      </w:r>
      <w:r w:rsidRPr="00085FA6">
        <w:rPr>
          <w:rFonts w:ascii="Times New Roman" w:hAnsi="Times New Roman" w:cs="Times New Roman"/>
          <w:lang w:val="fr-FR"/>
        </w:rPr>
        <w:t xml:space="preserve">Source: </w:t>
      </w:r>
      <w:hyperlink r:id="rId8" w:history="1">
        <w:r w:rsidRPr="00085FA6">
          <w:rPr>
            <w:rStyle w:val="Hyperlink"/>
            <w:rFonts w:ascii="Times New Roman" w:hAnsi="Times New Roman" w:cs="Times New Roman"/>
            <w:lang w:val="fr-FR"/>
          </w:rPr>
          <w:t>http://www.globalccsinstitute.com/insights/authors/christophershort/2010/11/03/definition-ccs-ready</w:t>
        </w:r>
      </w:hyperlink>
      <w:r w:rsidRPr="00085FA6">
        <w:rPr>
          <w:rFonts w:ascii="Times New Roman" w:hAnsi="Times New Roman" w:cs="Times New Roman"/>
          <w:lang w:val="fr-FR"/>
        </w:rPr>
        <w:t xml:space="preserve">. </w:t>
      </w:r>
      <w:r w:rsidRPr="00085FA6">
        <w:rPr>
          <w:rFonts w:ascii="Times New Roman" w:hAnsi="Times New Roman" w:cs="Times New Roman"/>
          <w:lang w:val="en-US"/>
        </w:rPr>
        <w:t xml:space="preserve">We have decided not to model this category of plants </w:t>
      </w:r>
      <w:r w:rsidRPr="00085FA6">
        <w:rPr>
          <w:rFonts w:ascii="Times New Roman" w:hAnsi="Times New Roman" w:cs="Times New Roman"/>
          <w:lang w:val="en-GB"/>
        </w:rPr>
        <w:t xml:space="preserve">due to the complexity of the definition of CCS-ready, and therefor only operate with </w:t>
      </w:r>
      <w:proofErr w:type="gramStart"/>
      <w:r w:rsidRPr="00085FA6">
        <w:rPr>
          <w:rFonts w:ascii="Times New Roman" w:hAnsi="Times New Roman" w:cs="Times New Roman"/>
          <w:lang w:val="en-GB"/>
        </w:rPr>
        <w:t>greenfield</w:t>
      </w:r>
      <w:proofErr w:type="gramEnd"/>
      <w:r w:rsidRPr="00085FA6">
        <w:rPr>
          <w:rFonts w:ascii="Times New Roman" w:hAnsi="Times New Roman" w:cs="Times New Roman"/>
          <w:lang w:val="en-GB"/>
        </w:rPr>
        <w:t xml:space="preserve"> plants of regular power plants that are being retrofitted.  </w:t>
      </w:r>
    </w:p>
  </w:footnote>
  <w:footnote w:id="39">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The export price is based on Free </w:t>
      </w:r>
      <w:proofErr w:type="gramStart"/>
      <w:r w:rsidRPr="00085FA6">
        <w:rPr>
          <w:rFonts w:ascii="Times New Roman" w:hAnsi="Times New Roman" w:cs="Times New Roman"/>
          <w:lang w:val="en-US"/>
        </w:rPr>
        <w:t>Alongside</w:t>
      </w:r>
      <w:proofErr w:type="gramEnd"/>
      <w:r w:rsidRPr="00085FA6">
        <w:rPr>
          <w:rFonts w:ascii="Times New Roman" w:hAnsi="Times New Roman" w:cs="Times New Roman"/>
          <w:lang w:val="en-US"/>
        </w:rPr>
        <w:t xml:space="preserve"> Ship (FAS) values. This is the price of the coal delivered at the side of the ship in the port of export. </w:t>
      </w:r>
    </w:p>
  </w:footnote>
  <w:footnote w:id="40">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4E537F">
        <w:rPr>
          <w:rFonts w:ascii="Times New Roman" w:hAnsi="Times New Roman" w:cs="Times New Roman"/>
          <w:lang w:val="da-DK"/>
        </w:rPr>
        <w:t xml:space="preserve"> </w:t>
      </w:r>
      <w:r w:rsidRPr="004E537F">
        <w:rPr>
          <w:rFonts w:ascii="Times New Roman" w:hAnsi="Times New Roman" w:cs="Times New Roman"/>
          <w:lang w:val="da-DK"/>
        </w:rPr>
        <w:t xml:space="preserve">According to Hoefnagels et al. </w:t>
      </w:r>
      <w:r w:rsidRPr="00085FA6">
        <w:rPr>
          <w:rFonts w:ascii="Times New Roman" w:hAnsi="Times New Roman" w:cs="Times New Roman"/>
          <w:lang w:val="en-US"/>
        </w:rPr>
        <w:t xml:space="preserve">(2011), the majority of wood pellets </w:t>
      </w:r>
      <w:r>
        <w:rPr>
          <w:rFonts w:ascii="Times New Roman" w:hAnsi="Times New Roman" w:cs="Times New Roman"/>
          <w:lang w:val="en-US"/>
        </w:rPr>
        <w:t xml:space="preserve">transport </w:t>
      </w:r>
      <w:r w:rsidRPr="00085FA6">
        <w:rPr>
          <w:rFonts w:ascii="Times New Roman" w:hAnsi="Times New Roman" w:cs="Times New Roman"/>
          <w:lang w:val="en-US"/>
        </w:rPr>
        <w:t>within Europe</w:t>
      </w:r>
      <w:r>
        <w:rPr>
          <w:rFonts w:ascii="Times New Roman" w:hAnsi="Times New Roman" w:cs="Times New Roman"/>
          <w:lang w:val="en-US"/>
        </w:rPr>
        <w:t xml:space="preserve"> is done by truck</w:t>
      </w:r>
      <w:r w:rsidRPr="00085FA6">
        <w:rPr>
          <w:rFonts w:ascii="Times New Roman" w:hAnsi="Times New Roman" w:cs="Times New Roman"/>
          <w:lang w:val="en-US"/>
        </w:rPr>
        <w:t xml:space="preserve">. </w:t>
      </w:r>
    </w:p>
  </w:footnote>
  <w:footnote w:id="41">
    <w:p w:rsidR="00EA0538" w:rsidRPr="003F513C"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ENTSOG provides </w:t>
      </w:r>
      <w:r>
        <w:rPr>
          <w:rFonts w:ascii="Times New Roman" w:hAnsi="Times New Roman" w:cs="Times New Roman"/>
          <w:lang w:val="en-US"/>
        </w:rPr>
        <w:t xml:space="preserve">a map </w:t>
      </w:r>
      <w:r w:rsidRPr="00085FA6">
        <w:rPr>
          <w:rFonts w:ascii="Times New Roman" w:hAnsi="Times New Roman" w:cs="Times New Roman"/>
          <w:lang w:val="en-US"/>
        </w:rPr>
        <w:t>with transmission capacities</w:t>
      </w:r>
      <w:r>
        <w:rPr>
          <w:rFonts w:ascii="Times New Roman" w:hAnsi="Times New Roman" w:cs="Times New Roman"/>
          <w:lang w:val="en-US"/>
        </w:rPr>
        <w:t xml:space="preserve"> for Europe and the surrounding countries for natural gas and LNG</w:t>
      </w:r>
      <w:r w:rsidRPr="00085FA6">
        <w:rPr>
          <w:rFonts w:ascii="Times New Roman" w:hAnsi="Times New Roman" w:cs="Times New Roman"/>
          <w:lang w:val="en-US"/>
        </w:rPr>
        <w:t>.</w:t>
      </w:r>
      <w:r w:rsidRPr="003F513C">
        <w:rPr>
          <w:rFonts w:ascii="Times New Roman" w:hAnsi="Times New Roman" w:cs="Times New Roman"/>
          <w:lang w:val="en-US"/>
        </w:rPr>
        <w:t xml:space="preserve"> </w:t>
      </w:r>
      <w:hyperlink r:id="rId9" w:history="1">
        <w:r w:rsidRPr="003F513C">
          <w:rPr>
            <w:rFonts w:ascii="Times New Roman" w:hAnsi="Times New Roman" w:cs="Times New Roman"/>
            <w:color w:val="0000FF"/>
            <w:u w:val="single"/>
            <w:lang w:val="en-US"/>
          </w:rPr>
          <w:t>http://www.entsog.eu/maps/transmission-capacity-map</w:t>
        </w:r>
      </w:hyperlink>
    </w:p>
  </w:footnote>
  <w:footnote w:id="42">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proofErr w:type="gramStart"/>
      <w:r w:rsidRPr="00085FA6">
        <w:rPr>
          <w:rFonts w:ascii="Times New Roman" w:hAnsi="Times New Roman" w:cs="Times New Roman"/>
          <w:lang w:val="en-US"/>
        </w:rPr>
        <w:t>IEA ETSAP Technology Brief P03 (2011).</w:t>
      </w:r>
      <w:proofErr w:type="gramEnd"/>
    </w:p>
  </w:footnote>
  <w:footnote w:id="43">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All reports were found </w:t>
      </w:r>
      <w:r>
        <w:rPr>
          <w:rFonts w:ascii="Times New Roman" w:hAnsi="Times New Roman" w:cs="Times New Roman"/>
          <w:lang w:val="en-US"/>
        </w:rPr>
        <w:t>through</w:t>
      </w:r>
      <w:r w:rsidRPr="00085FA6">
        <w:rPr>
          <w:rFonts w:ascii="Times New Roman" w:hAnsi="Times New Roman" w:cs="Times New Roman"/>
          <w:lang w:val="en-US"/>
        </w:rPr>
        <w:t xml:space="preserve">: </w:t>
      </w:r>
      <w:hyperlink r:id="rId10" w:history="1">
        <w:r w:rsidRPr="00DC5BBB">
          <w:rPr>
            <w:rStyle w:val="Hyperlink"/>
            <w:rFonts w:ascii="Times New Roman" w:hAnsi="Times New Roman" w:cs="Times New Roman"/>
            <w:lang w:val="en-US"/>
          </w:rPr>
          <w:t>http://www.energy-regulators.eu/portal/page/portal/EER_HOME/EER_PUBLICATIONS/</w:t>
        </w:r>
        <w:r w:rsidRPr="00DC5BBB">
          <w:rPr>
            <w:rStyle w:val="Hyperlink"/>
            <w:rFonts w:ascii="Times New Roman" w:hAnsi="Times New Roman" w:cs="Times New Roman"/>
            <w:lang w:val="en-US"/>
          </w:rPr>
          <w:br/>
          <w:t>NATIONAL_REPORTS/National%20Reporting%202010</w:t>
        </w:r>
      </w:hyperlink>
      <w:r w:rsidRPr="00085FA6">
        <w:rPr>
          <w:rFonts w:ascii="Times New Roman" w:hAnsi="Times New Roman" w:cs="Times New Roman"/>
          <w:lang w:val="en-US"/>
        </w:rPr>
        <w:t xml:space="preserve"> (accessed on 25.01.2012)</w:t>
      </w:r>
    </w:p>
  </w:footnote>
  <w:footnote w:id="44">
    <w:p w:rsidR="00EA0538" w:rsidRPr="00085FA6" w:rsidRDefault="00EA0538" w:rsidP="00EA0538">
      <w:pPr>
        <w:pStyle w:val="FootnoteText"/>
        <w:rPr>
          <w:rFonts w:ascii="Times New Roman" w:hAnsi="Times New Roman" w:cs="Times New Roman"/>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We have used ENTSO-E’s online statistical database </w:t>
      </w:r>
      <w:hyperlink r:id="rId11" w:history="1">
        <w:r w:rsidRPr="00085FA6">
          <w:rPr>
            <w:rFonts w:ascii="Times New Roman" w:hAnsi="Times New Roman" w:cs="Times New Roman"/>
            <w:color w:val="0000FF"/>
            <w:u w:val="single"/>
            <w:lang w:val="en-US"/>
          </w:rPr>
          <w:t>https://www.entsoe.eu/data/data-portal/</w:t>
        </w:r>
      </w:hyperlink>
      <w:r w:rsidRPr="00085FA6">
        <w:rPr>
          <w:rFonts w:ascii="Times New Roman" w:hAnsi="Times New Roman" w:cs="Times New Roman"/>
          <w:lang w:val="en-GB"/>
        </w:rPr>
        <w:t xml:space="preserve">, supplemented by ENTSO-E Statistical Yearbook 2010. </w:t>
      </w:r>
    </w:p>
  </w:footnote>
  <w:footnote w:id="45">
    <w:p w:rsidR="00EA0538" w:rsidRPr="0017598C" w:rsidRDefault="00EA0538" w:rsidP="00EA0538">
      <w:pPr>
        <w:pStyle w:val="FootnoteText"/>
        <w:rPr>
          <w:rFonts w:ascii="Times New Roman" w:hAnsi="Times New Roman" w:cs="Times New Roman"/>
          <w:lang w:val="en-US"/>
        </w:rPr>
      </w:pPr>
      <w:r w:rsidRPr="0017598C">
        <w:rPr>
          <w:rStyle w:val="FootnoteReference"/>
          <w:rFonts w:ascii="Times New Roman" w:hAnsi="Times New Roman" w:cs="Times New Roman"/>
        </w:rPr>
        <w:footnoteRef/>
      </w:r>
      <w:r w:rsidRPr="0017598C">
        <w:rPr>
          <w:rFonts w:ascii="Times New Roman" w:hAnsi="Times New Roman" w:cs="Times New Roman"/>
          <w:lang w:val="en-US"/>
        </w:rPr>
        <w:t xml:space="preserve"> For some countries the reported trade from ENTSO-E is not identical to that given by the IEA Extended Energy Balances. </w:t>
      </w:r>
    </w:p>
  </w:footnote>
  <w:footnote w:id="46">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T</w:t>
      </w:r>
      <w:proofErr w:type="spellStart"/>
      <w:r w:rsidRPr="00085FA6">
        <w:rPr>
          <w:rFonts w:ascii="Times New Roman" w:hAnsi="Times New Roman" w:cs="Times New Roman"/>
          <w:lang w:val="en-GB"/>
        </w:rPr>
        <w:t>hese</w:t>
      </w:r>
      <w:proofErr w:type="spellEnd"/>
      <w:r w:rsidRPr="00085FA6">
        <w:rPr>
          <w:rFonts w:ascii="Times New Roman" w:hAnsi="Times New Roman" w:cs="Times New Roman"/>
          <w:lang w:val="en-GB"/>
        </w:rPr>
        <w:t xml:space="preserve"> two organisations merged in 2009 so ENTSO-E does not provide a complete dataset for Europe until 2010 onwards.</w:t>
      </w:r>
    </w:p>
  </w:footnote>
  <w:footnote w:id="47">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hyperlink r:id="rId12" w:history="1">
        <w:r w:rsidRPr="00085FA6">
          <w:rPr>
            <w:rStyle w:val="Hyperlink"/>
            <w:rFonts w:ascii="Times New Roman" w:hAnsi="Times New Roman" w:cs="Times New Roman"/>
            <w:lang w:val="en-US"/>
          </w:rPr>
          <w:t>http://www.statnett.no/Documents/Prosjekter/Skagerrak%204/Dokumentliste/Melding/Melding_SK4.pdf</w:t>
        </w:r>
      </w:hyperlink>
      <w:r w:rsidRPr="00085FA6">
        <w:rPr>
          <w:rFonts w:ascii="Times New Roman" w:hAnsi="Times New Roman" w:cs="Times New Roman"/>
          <w:lang w:val="en-US"/>
        </w:rPr>
        <w:t xml:space="preserve">, </w:t>
      </w:r>
      <w:hyperlink r:id="rId13" w:history="1">
        <w:r w:rsidRPr="00085FA6">
          <w:rPr>
            <w:rStyle w:val="Hyperlink"/>
            <w:rFonts w:ascii="Times New Roman" w:hAnsi="Times New Roman" w:cs="Times New Roman"/>
            <w:lang w:val="en-US"/>
          </w:rPr>
          <w:t>http://www.statnett.no/Documents/Prosjekter/NORD.LINK,%20kabel%20til%20Tyskland/Dokumentliste/Konsesjonssøknad/22.10.2010_Samordnet%20konsesjonssøknad%20NorGer%20og%20NORD.LINK%20sendt%20NVE.pdf</w:t>
        </w:r>
      </w:hyperlink>
      <w:r w:rsidRPr="00085FA6">
        <w:rPr>
          <w:rFonts w:ascii="Times New Roman" w:hAnsi="Times New Roman" w:cs="Times New Roman"/>
          <w:lang w:val="en-US"/>
        </w:rPr>
        <w:t xml:space="preserve">  </w:t>
      </w:r>
    </w:p>
  </w:footnote>
  <w:footnote w:id="48">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proofErr w:type="spellStart"/>
      <w:r w:rsidRPr="00085FA6">
        <w:rPr>
          <w:rFonts w:ascii="Times New Roman" w:hAnsi="Times New Roman" w:cs="Times New Roman"/>
          <w:lang w:val="en-US"/>
        </w:rPr>
        <w:t>NordLink</w:t>
      </w:r>
      <w:proofErr w:type="spellEnd"/>
      <w:r w:rsidRPr="00085FA6">
        <w:rPr>
          <w:rFonts w:ascii="Times New Roman" w:hAnsi="Times New Roman" w:cs="Times New Roman"/>
          <w:lang w:val="en-US"/>
        </w:rPr>
        <w:t xml:space="preserve"> and </w:t>
      </w:r>
      <w:proofErr w:type="spellStart"/>
      <w:r w:rsidRPr="00085FA6">
        <w:rPr>
          <w:rFonts w:ascii="Times New Roman" w:hAnsi="Times New Roman" w:cs="Times New Roman"/>
          <w:lang w:val="en-US"/>
        </w:rPr>
        <w:t>NorGer</w:t>
      </w:r>
      <w:proofErr w:type="spellEnd"/>
      <w:r w:rsidRPr="00085FA6">
        <w:rPr>
          <w:rFonts w:ascii="Times New Roman" w:hAnsi="Times New Roman" w:cs="Times New Roman"/>
          <w:lang w:val="en-US"/>
        </w:rPr>
        <w:t xml:space="preserve"> are proposed transmission cable</w:t>
      </w:r>
      <w:r>
        <w:rPr>
          <w:rFonts w:ascii="Times New Roman" w:hAnsi="Times New Roman" w:cs="Times New Roman"/>
          <w:lang w:val="en-US"/>
        </w:rPr>
        <w:t>s between</w:t>
      </w:r>
      <w:r w:rsidRPr="00085FA6">
        <w:rPr>
          <w:rFonts w:ascii="Times New Roman" w:hAnsi="Times New Roman" w:cs="Times New Roman"/>
          <w:lang w:val="en-US"/>
        </w:rPr>
        <w:t xml:space="preserve"> Norway to Germany. </w:t>
      </w:r>
    </w:p>
  </w:footnote>
  <w:footnote w:id="49">
    <w:p w:rsidR="00EA0538" w:rsidRPr="00085FA6" w:rsidRDefault="00EA0538" w:rsidP="00EA0538">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085FA6">
        <w:rPr>
          <w:rFonts w:ascii="Times New Roman" w:hAnsi="Times New Roman" w:cs="Times New Roman"/>
          <w:lang w:val="en-US"/>
        </w:rPr>
        <w:t xml:space="preserve"> </w:t>
      </w:r>
      <w:hyperlink r:id="rId14" w:history="1">
        <w:r w:rsidRPr="00085FA6">
          <w:rPr>
            <w:rStyle w:val="Hyperlink"/>
            <w:rFonts w:ascii="Times New Roman" w:hAnsi="Times New Roman" w:cs="Times New Roman"/>
            <w:lang w:val="en-US"/>
          </w:rPr>
          <w:t>http://www.statnett.no/Documents/Prosjekter/Skagerrak%204/Dokumentliste/Melding/Melding_SK4.pdf</w:t>
        </w:r>
      </w:hyperlink>
      <w:r w:rsidRPr="00085FA6">
        <w:rPr>
          <w:rFonts w:ascii="Times New Roman" w:hAnsi="Times New Roman" w:cs="Times New Roman"/>
          <w:lang w:val="en-US"/>
        </w:rPr>
        <w:t xml:space="preserve">, </w:t>
      </w:r>
      <w:hyperlink r:id="rId15" w:history="1">
        <w:r w:rsidRPr="00085FA6">
          <w:rPr>
            <w:rStyle w:val="Hyperlink"/>
            <w:rFonts w:ascii="Times New Roman" w:hAnsi="Times New Roman" w:cs="Times New Roman"/>
            <w:lang w:val="en-US"/>
          </w:rPr>
          <w:t>http://www.statnett.no/Documents/Prosjekter/NORD.LINK,%20kabel%20til%20Tyskland/Dokumentliste/Konsesjonssøknad/22.10.2010_Samordnet%20konsesjonssøknad%20NorGer%20og%20NORD.LINK%20sendt%20NVE.pdf</w:t>
        </w:r>
      </w:hyperlink>
      <w:r w:rsidRPr="00085FA6">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939"/>
    <w:multiLevelType w:val="hybridMultilevel"/>
    <w:tmpl w:val="A42CB7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2A366A"/>
    <w:multiLevelType w:val="multilevel"/>
    <w:tmpl w:val="0CFEB1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2"/>
        </w:tabs>
        <w:ind w:left="482" w:hanging="482"/>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6AD83202"/>
    <w:multiLevelType w:val="hybridMultilevel"/>
    <w:tmpl w:val="83C8324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38"/>
    <w:rsid w:val="000352FC"/>
    <w:rsid w:val="000F349D"/>
    <w:rsid w:val="003C6E61"/>
    <w:rsid w:val="00771431"/>
    <w:rsid w:val="00D70D9F"/>
    <w:rsid w:val="00EA053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0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0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5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05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5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0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5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053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A0538"/>
    <w:rPr>
      <w:color w:val="0000FF" w:themeColor="hyperlink"/>
      <w:u w:val="single"/>
    </w:rPr>
  </w:style>
  <w:style w:type="character" w:styleId="Emphasis">
    <w:name w:val="Emphasis"/>
    <w:basedOn w:val="DefaultParagraphFont"/>
    <w:uiPriority w:val="20"/>
    <w:qFormat/>
    <w:rsid w:val="00EA0538"/>
    <w:rPr>
      <w:i/>
      <w:iCs/>
    </w:rPr>
  </w:style>
  <w:style w:type="paragraph" w:styleId="Header">
    <w:name w:val="header"/>
    <w:basedOn w:val="Normal"/>
    <w:link w:val="HeaderChar"/>
    <w:uiPriority w:val="99"/>
    <w:unhideWhenUsed/>
    <w:rsid w:val="00EA05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538"/>
  </w:style>
  <w:style w:type="paragraph" w:styleId="Footer">
    <w:name w:val="footer"/>
    <w:basedOn w:val="Normal"/>
    <w:link w:val="FooterChar"/>
    <w:uiPriority w:val="99"/>
    <w:unhideWhenUsed/>
    <w:rsid w:val="00EA05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538"/>
  </w:style>
  <w:style w:type="paragraph" w:styleId="FootnoteText">
    <w:name w:val="footnote text"/>
    <w:basedOn w:val="Normal"/>
    <w:link w:val="FootnoteTextChar"/>
    <w:uiPriority w:val="99"/>
    <w:semiHidden/>
    <w:unhideWhenUsed/>
    <w:rsid w:val="00EA0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538"/>
    <w:rPr>
      <w:sz w:val="20"/>
      <w:szCs w:val="20"/>
    </w:rPr>
  </w:style>
  <w:style w:type="character" w:styleId="FootnoteReference">
    <w:name w:val="footnote reference"/>
    <w:basedOn w:val="DefaultParagraphFont"/>
    <w:uiPriority w:val="99"/>
    <w:semiHidden/>
    <w:unhideWhenUsed/>
    <w:rsid w:val="00EA0538"/>
    <w:rPr>
      <w:vertAlign w:val="superscript"/>
    </w:rPr>
  </w:style>
  <w:style w:type="paragraph" w:styleId="ListParagraph">
    <w:name w:val="List Paragraph"/>
    <w:basedOn w:val="Normal"/>
    <w:uiPriority w:val="34"/>
    <w:qFormat/>
    <w:rsid w:val="00EA0538"/>
    <w:pPr>
      <w:ind w:left="720"/>
      <w:contextualSpacing/>
    </w:pPr>
  </w:style>
  <w:style w:type="character" w:customStyle="1" w:styleId="apple-converted-space">
    <w:name w:val="apple-converted-space"/>
    <w:basedOn w:val="DefaultParagraphFont"/>
    <w:rsid w:val="00EA0538"/>
  </w:style>
  <w:style w:type="character" w:styleId="CommentReference">
    <w:name w:val="annotation reference"/>
    <w:basedOn w:val="DefaultParagraphFont"/>
    <w:uiPriority w:val="99"/>
    <w:semiHidden/>
    <w:unhideWhenUsed/>
    <w:rsid w:val="00EA0538"/>
    <w:rPr>
      <w:sz w:val="16"/>
      <w:szCs w:val="16"/>
    </w:rPr>
  </w:style>
  <w:style w:type="paragraph" w:styleId="CommentText">
    <w:name w:val="annotation text"/>
    <w:basedOn w:val="Normal"/>
    <w:link w:val="CommentTextChar"/>
    <w:uiPriority w:val="99"/>
    <w:unhideWhenUsed/>
    <w:rsid w:val="00EA0538"/>
    <w:pPr>
      <w:spacing w:line="240" w:lineRule="auto"/>
    </w:pPr>
    <w:rPr>
      <w:sz w:val="20"/>
      <w:szCs w:val="20"/>
    </w:rPr>
  </w:style>
  <w:style w:type="character" w:customStyle="1" w:styleId="CommentTextChar">
    <w:name w:val="Comment Text Char"/>
    <w:basedOn w:val="DefaultParagraphFont"/>
    <w:link w:val="CommentText"/>
    <w:uiPriority w:val="99"/>
    <w:rsid w:val="00EA0538"/>
    <w:rPr>
      <w:sz w:val="20"/>
      <w:szCs w:val="20"/>
    </w:rPr>
  </w:style>
  <w:style w:type="paragraph" w:styleId="CommentSubject">
    <w:name w:val="annotation subject"/>
    <w:basedOn w:val="CommentText"/>
    <w:next w:val="CommentText"/>
    <w:link w:val="CommentSubjectChar"/>
    <w:uiPriority w:val="99"/>
    <w:semiHidden/>
    <w:unhideWhenUsed/>
    <w:rsid w:val="00EA0538"/>
    <w:rPr>
      <w:b/>
      <w:bCs/>
    </w:rPr>
  </w:style>
  <w:style w:type="character" w:customStyle="1" w:styleId="CommentSubjectChar">
    <w:name w:val="Comment Subject Char"/>
    <w:basedOn w:val="CommentTextChar"/>
    <w:link w:val="CommentSubject"/>
    <w:uiPriority w:val="99"/>
    <w:semiHidden/>
    <w:rsid w:val="00EA0538"/>
    <w:rPr>
      <w:b/>
      <w:bCs/>
      <w:sz w:val="20"/>
      <w:szCs w:val="20"/>
    </w:rPr>
  </w:style>
  <w:style w:type="paragraph" w:styleId="BalloonText">
    <w:name w:val="Balloon Text"/>
    <w:basedOn w:val="Normal"/>
    <w:link w:val="BalloonTextChar"/>
    <w:uiPriority w:val="99"/>
    <w:semiHidden/>
    <w:unhideWhenUsed/>
    <w:rsid w:val="00EA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38"/>
    <w:rPr>
      <w:rFonts w:ascii="Tahoma" w:hAnsi="Tahoma" w:cs="Tahoma"/>
      <w:sz w:val="16"/>
      <w:szCs w:val="16"/>
    </w:rPr>
  </w:style>
  <w:style w:type="paragraph" w:styleId="EndnoteText">
    <w:name w:val="endnote text"/>
    <w:basedOn w:val="Normal"/>
    <w:link w:val="EndnoteTextChar"/>
    <w:semiHidden/>
    <w:unhideWhenUsed/>
    <w:rsid w:val="00EA0538"/>
    <w:pPr>
      <w:spacing w:after="0" w:line="240" w:lineRule="auto"/>
    </w:pPr>
    <w:rPr>
      <w:sz w:val="20"/>
      <w:szCs w:val="20"/>
    </w:rPr>
  </w:style>
  <w:style w:type="character" w:customStyle="1" w:styleId="EndnoteTextChar">
    <w:name w:val="Endnote Text Char"/>
    <w:basedOn w:val="DefaultParagraphFont"/>
    <w:link w:val="EndnoteText"/>
    <w:semiHidden/>
    <w:rsid w:val="00EA0538"/>
    <w:rPr>
      <w:sz w:val="20"/>
      <w:szCs w:val="20"/>
    </w:rPr>
  </w:style>
  <w:style w:type="character" w:styleId="EndnoteReference">
    <w:name w:val="endnote reference"/>
    <w:basedOn w:val="DefaultParagraphFont"/>
    <w:semiHidden/>
    <w:unhideWhenUsed/>
    <w:rsid w:val="00EA0538"/>
    <w:rPr>
      <w:vertAlign w:val="superscript"/>
    </w:rPr>
  </w:style>
  <w:style w:type="paragraph" w:styleId="TOCHeading">
    <w:name w:val="TOC Heading"/>
    <w:basedOn w:val="Heading1"/>
    <w:next w:val="Normal"/>
    <w:uiPriority w:val="39"/>
    <w:semiHidden/>
    <w:unhideWhenUsed/>
    <w:qFormat/>
    <w:rsid w:val="00EA0538"/>
    <w:pPr>
      <w:outlineLvl w:val="9"/>
    </w:pPr>
    <w:rPr>
      <w:lang w:val="en-US" w:eastAsia="ja-JP"/>
    </w:rPr>
  </w:style>
  <w:style w:type="paragraph" w:styleId="TOC2">
    <w:name w:val="toc 2"/>
    <w:basedOn w:val="Normal"/>
    <w:next w:val="Normal"/>
    <w:autoRedefine/>
    <w:uiPriority w:val="39"/>
    <w:unhideWhenUsed/>
    <w:qFormat/>
    <w:rsid w:val="00EA0538"/>
    <w:pPr>
      <w:spacing w:after="100"/>
      <w:ind w:left="220"/>
    </w:pPr>
    <w:rPr>
      <w:lang w:val="en-US" w:eastAsia="ja-JP"/>
    </w:rPr>
  </w:style>
  <w:style w:type="paragraph" w:styleId="TOC1">
    <w:name w:val="toc 1"/>
    <w:basedOn w:val="Normal"/>
    <w:next w:val="Normal"/>
    <w:autoRedefine/>
    <w:uiPriority w:val="39"/>
    <w:unhideWhenUsed/>
    <w:qFormat/>
    <w:rsid w:val="00EA0538"/>
    <w:pPr>
      <w:spacing w:after="100"/>
    </w:pPr>
    <w:rPr>
      <w:lang w:val="en-US" w:eastAsia="ja-JP"/>
    </w:rPr>
  </w:style>
  <w:style w:type="paragraph" w:styleId="TOC3">
    <w:name w:val="toc 3"/>
    <w:basedOn w:val="Normal"/>
    <w:next w:val="Normal"/>
    <w:autoRedefine/>
    <w:uiPriority w:val="39"/>
    <w:unhideWhenUsed/>
    <w:qFormat/>
    <w:rsid w:val="00EA0538"/>
    <w:pPr>
      <w:spacing w:after="100"/>
      <w:ind w:left="440"/>
    </w:pPr>
    <w:rPr>
      <w:lang w:val="en-US" w:eastAsia="ja-JP"/>
    </w:rPr>
  </w:style>
  <w:style w:type="paragraph" w:styleId="Bibliography">
    <w:name w:val="Bibliography"/>
    <w:basedOn w:val="Normal"/>
    <w:next w:val="Normal"/>
    <w:uiPriority w:val="37"/>
    <w:unhideWhenUsed/>
    <w:rsid w:val="00EA0538"/>
  </w:style>
  <w:style w:type="table" w:styleId="TableGrid">
    <w:name w:val="Table Grid"/>
    <w:basedOn w:val="TableNormal"/>
    <w:uiPriority w:val="59"/>
    <w:rsid w:val="00EA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05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05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A05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EA0538"/>
    <w:pPr>
      <w:spacing w:after="0" w:line="240" w:lineRule="auto"/>
    </w:pPr>
  </w:style>
  <w:style w:type="character" w:styleId="FollowedHyperlink">
    <w:name w:val="FollowedHyperlink"/>
    <w:basedOn w:val="DefaultParagraphFont"/>
    <w:uiPriority w:val="99"/>
    <w:semiHidden/>
    <w:unhideWhenUsed/>
    <w:rsid w:val="00EA0538"/>
    <w:rPr>
      <w:color w:val="800080" w:themeColor="followedHyperlink"/>
      <w:u w:val="single"/>
    </w:rPr>
  </w:style>
  <w:style w:type="paragraph" w:customStyle="1" w:styleId="EESubheadingB">
    <w:name w:val="EE Subheading B"/>
    <w:basedOn w:val="Heading3"/>
    <w:next w:val="EEFirstParagraph"/>
    <w:rsid w:val="00EA0538"/>
    <w:pPr>
      <w:keepLines w:val="0"/>
      <w:spacing w:before="240" w:after="240" w:line="240" w:lineRule="exact"/>
    </w:pPr>
    <w:rPr>
      <w:rFonts w:ascii="Times" w:eastAsia="Times New Roman" w:hAnsi="Times" w:cs="Arial"/>
      <w:color w:val="auto"/>
      <w:sz w:val="20"/>
      <w:szCs w:val="26"/>
      <w:lang w:val="en-GB" w:eastAsia="en-US"/>
    </w:rPr>
  </w:style>
  <w:style w:type="paragraph" w:customStyle="1" w:styleId="EEFirstParagraph">
    <w:name w:val="EE FirstParagraph"/>
    <w:basedOn w:val="Normal"/>
    <w:next w:val="EEParagraph"/>
    <w:link w:val="EEFirstParagraphChar"/>
    <w:rsid w:val="00EA0538"/>
    <w:pPr>
      <w:spacing w:after="0" w:line="240" w:lineRule="exact"/>
      <w:jc w:val="both"/>
    </w:pPr>
    <w:rPr>
      <w:rFonts w:ascii="Times" w:eastAsia="Times New Roman" w:hAnsi="Times" w:cs="Times New Roman"/>
      <w:sz w:val="20"/>
      <w:szCs w:val="20"/>
      <w:lang w:val="en-GB" w:eastAsia="en-US"/>
    </w:rPr>
  </w:style>
  <w:style w:type="paragraph" w:customStyle="1" w:styleId="EEParagraph">
    <w:name w:val="EE Paragraph"/>
    <w:basedOn w:val="Normal"/>
    <w:rsid w:val="00EA0538"/>
    <w:pPr>
      <w:spacing w:after="0" w:line="240" w:lineRule="exact"/>
      <w:ind w:firstLine="240"/>
      <w:jc w:val="both"/>
    </w:pPr>
    <w:rPr>
      <w:rFonts w:ascii="Times" w:eastAsia="Times New Roman" w:hAnsi="Times" w:cs="Times New Roman"/>
      <w:sz w:val="20"/>
      <w:szCs w:val="20"/>
      <w:lang w:val="en-GB" w:eastAsia="en-US"/>
    </w:rPr>
  </w:style>
  <w:style w:type="paragraph" w:customStyle="1" w:styleId="EESubheadingA">
    <w:name w:val="EE Subheading A"/>
    <w:basedOn w:val="Heading2"/>
    <w:next w:val="EEFirstParagraph"/>
    <w:rsid w:val="00EA0538"/>
    <w:pPr>
      <w:keepLines w:val="0"/>
      <w:numPr>
        <w:ilvl w:val="1"/>
      </w:numPr>
      <w:tabs>
        <w:tab w:val="num" w:pos="482"/>
      </w:tabs>
      <w:spacing w:before="480" w:after="240" w:line="240" w:lineRule="auto"/>
      <w:ind w:left="482" w:hanging="482"/>
    </w:pPr>
    <w:rPr>
      <w:rFonts w:ascii="Times" w:eastAsia="Times New Roman" w:hAnsi="Times" w:cs="Arial"/>
      <w:b w:val="0"/>
      <w:iCs/>
      <w:caps/>
      <w:color w:val="auto"/>
      <w:sz w:val="24"/>
      <w:szCs w:val="24"/>
      <w:lang w:val="en-GB" w:eastAsia="en-US"/>
    </w:rPr>
  </w:style>
  <w:style w:type="paragraph" w:customStyle="1" w:styleId="MTDisplayEquation">
    <w:name w:val="MTDisplayEquation"/>
    <w:basedOn w:val="EEParagraph"/>
    <w:next w:val="EEFirstParagraph"/>
    <w:rsid w:val="00EA0538"/>
    <w:pPr>
      <w:tabs>
        <w:tab w:val="center" w:pos="3120"/>
        <w:tab w:val="right" w:pos="6240"/>
      </w:tabs>
      <w:spacing w:before="240" w:after="240" w:line="240" w:lineRule="auto"/>
    </w:pPr>
  </w:style>
  <w:style w:type="paragraph" w:customStyle="1" w:styleId="EEEquation">
    <w:name w:val="EE Equation"/>
    <w:basedOn w:val="MTDisplayEquation"/>
    <w:rsid w:val="00EA0538"/>
  </w:style>
  <w:style w:type="character" w:customStyle="1" w:styleId="EEFirstParagraphChar">
    <w:name w:val="EE FirstParagraph Char"/>
    <w:link w:val="EEFirstParagraph"/>
    <w:rsid w:val="00EA0538"/>
    <w:rPr>
      <w:rFonts w:ascii="Times" w:eastAsia="Times New Roman" w:hAnsi="Times" w:cs="Times New Roman"/>
      <w:sz w:val="20"/>
      <w:szCs w:val="20"/>
      <w:lang w:val="en-GB" w:eastAsia="en-US"/>
    </w:rPr>
  </w:style>
  <w:style w:type="character" w:customStyle="1" w:styleId="MTEquationSection">
    <w:name w:val="MTEquationSection"/>
    <w:rsid w:val="00EA0538"/>
    <w:rPr>
      <w:vanish/>
      <w:color w:val="FF0000"/>
    </w:rPr>
  </w:style>
  <w:style w:type="numbering" w:customStyle="1" w:styleId="NoList1">
    <w:name w:val="No List1"/>
    <w:next w:val="NoList"/>
    <w:uiPriority w:val="99"/>
    <w:semiHidden/>
    <w:unhideWhenUsed/>
    <w:rsid w:val="00EA0538"/>
  </w:style>
  <w:style w:type="paragraph" w:customStyle="1" w:styleId="xl70">
    <w:name w:val="xl70"/>
    <w:basedOn w:val="Normal"/>
    <w:rsid w:val="00EA05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EA05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EA05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EA0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A0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EA0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EA053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2">
    <w:name w:val="xl72"/>
    <w:basedOn w:val="Normal"/>
    <w:rsid w:val="00EA05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EA0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EA0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EA053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EA053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EA053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EA053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5">
    <w:name w:val="font5"/>
    <w:basedOn w:val="Normal"/>
    <w:rsid w:val="00EA0538"/>
    <w:pPr>
      <w:spacing w:before="100" w:beforeAutospacing="1" w:after="100" w:afterAutospacing="1" w:line="240" w:lineRule="auto"/>
    </w:pPr>
    <w:rPr>
      <w:rFonts w:ascii="Times New Roman" w:eastAsia="Times New Roman" w:hAnsi="Times New Roman"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0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0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5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05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5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0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5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053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A0538"/>
    <w:rPr>
      <w:color w:val="0000FF" w:themeColor="hyperlink"/>
      <w:u w:val="single"/>
    </w:rPr>
  </w:style>
  <w:style w:type="character" w:styleId="Emphasis">
    <w:name w:val="Emphasis"/>
    <w:basedOn w:val="DefaultParagraphFont"/>
    <w:uiPriority w:val="20"/>
    <w:qFormat/>
    <w:rsid w:val="00EA0538"/>
    <w:rPr>
      <w:i/>
      <w:iCs/>
    </w:rPr>
  </w:style>
  <w:style w:type="paragraph" w:styleId="Header">
    <w:name w:val="header"/>
    <w:basedOn w:val="Normal"/>
    <w:link w:val="HeaderChar"/>
    <w:uiPriority w:val="99"/>
    <w:unhideWhenUsed/>
    <w:rsid w:val="00EA05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538"/>
  </w:style>
  <w:style w:type="paragraph" w:styleId="Footer">
    <w:name w:val="footer"/>
    <w:basedOn w:val="Normal"/>
    <w:link w:val="FooterChar"/>
    <w:uiPriority w:val="99"/>
    <w:unhideWhenUsed/>
    <w:rsid w:val="00EA05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538"/>
  </w:style>
  <w:style w:type="paragraph" w:styleId="FootnoteText">
    <w:name w:val="footnote text"/>
    <w:basedOn w:val="Normal"/>
    <w:link w:val="FootnoteTextChar"/>
    <w:uiPriority w:val="99"/>
    <w:semiHidden/>
    <w:unhideWhenUsed/>
    <w:rsid w:val="00EA0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538"/>
    <w:rPr>
      <w:sz w:val="20"/>
      <w:szCs w:val="20"/>
    </w:rPr>
  </w:style>
  <w:style w:type="character" w:styleId="FootnoteReference">
    <w:name w:val="footnote reference"/>
    <w:basedOn w:val="DefaultParagraphFont"/>
    <w:uiPriority w:val="99"/>
    <w:semiHidden/>
    <w:unhideWhenUsed/>
    <w:rsid w:val="00EA0538"/>
    <w:rPr>
      <w:vertAlign w:val="superscript"/>
    </w:rPr>
  </w:style>
  <w:style w:type="paragraph" w:styleId="ListParagraph">
    <w:name w:val="List Paragraph"/>
    <w:basedOn w:val="Normal"/>
    <w:uiPriority w:val="34"/>
    <w:qFormat/>
    <w:rsid w:val="00EA0538"/>
    <w:pPr>
      <w:ind w:left="720"/>
      <w:contextualSpacing/>
    </w:pPr>
  </w:style>
  <w:style w:type="character" w:customStyle="1" w:styleId="apple-converted-space">
    <w:name w:val="apple-converted-space"/>
    <w:basedOn w:val="DefaultParagraphFont"/>
    <w:rsid w:val="00EA0538"/>
  </w:style>
  <w:style w:type="character" w:styleId="CommentReference">
    <w:name w:val="annotation reference"/>
    <w:basedOn w:val="DefaultParagraphFont"/>
    <w:uiPriority w:val="99"/>
    <w:semiHidden/>
    <w:unhideWhenUsed/>
    <w:rsid w:val="00EA0538"/>
    <w:rPr>
      <w:sz w:val="16"/>
      <w:szCs w:val="16"/>
    </w:rPr>
  </w:style>
  <w:style w:type="paragraph" w:styleId="CommentText">
    <w:name w:val="annotation text"/>
    <w:basedOn w:val="Normal"/>
    <w:link w:val="CommentTextChar"/>
    <w:uiPriority w:val="99"/>
    <w:unhideWhenUsed/>
    <w:rsid w:val="00EA0538"/>
    <w:pPr>
      <w:spacing w:line="240" w:lineRule="auto"/>
    </w:pPr>
    <w:rPr>
      <w:sz w:val="20"/>
      <w:szCs w:val="20"/>
    </w:rPr>
  </w:style>
  <w:style w:type="character" w:customStyle="1" w:styleId="CommentTextChar">
    <w:name w:val="Comment Text Char"/>
    <w:basedOn w:val="DefaultParagraphFont"/>
    <w:link w:val="CommentText"/>
    <w:uiPriority w:val="99"/>
    <w:rsid w:val="00EA0538"/>
    <w:rPr>
      <w:sz w:val="20"/>
      <w:szCs w:val="20"/>
    </w:rPr>
  </w:style>
  <w:style w:type="paragraph" w:styleId="CommentSubject">
    <w:name w:val="annotation subject"/>
    <w:basedOn w:val="CommentText"/>
    <w:next w:val="CommentText"/>
    <w:link w:val="CommentSubjectChar"/>
    <w:uiPriority w:val="99"/>
    <w:semiHidden/>
    <w:unhideWhenUsed/>
    <w:rsid w:val="00EA0538"/>
    <w:rPr>
      <w:b/>
      <w:bCs/>
    </w:rPr>
  </w:style>
  <w:style w:type="character" w:customStyle="1" w:styleId="CommentSubjectChar">
    <w:name w:val="Comment Subject Char"/>
    <w:basedOn w:val="CommentTextChar"/>
    <w:link w:val="CommentSubject"/>
    <w:uiPriority w:val="99"/>
    <w:semiHidden/>
    <w:rsid w:val="00EA0538"/>
    <w:rPr>
      <w:b/>
      <w:bCs/>
      <w:sz w:val="20"/>
      <w:szCs w:val="20"/>
    </w:rPr>
  </w:style>
  <w:style w:type="paragraph" w:styleId="BalloonText">
    <w:name w:val="Balloon Text"/>
    <w:basedOn w:val="Normal"/>
    <w:link w:val="BalloonTextChar"/>
    <w:uiPriority w:val="99"/>
    <w:semiHidden/>
    <w:unhideWhenUsed/>
    <w:rsid w:val="00EA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38"/>
    <w:rPr>
      <w:rFonts w:ascii="Tahoma" w:hAnsi="Tahoma" w:cs="Tahoma"/>
      <w:sz w:val="16"/>
      <w:szCs w:val="16"/>
    </w:rPr>
  </w:style>
  <w:style w:type="paragraph" w:styleId="EndnoteText">
    <w:name w:val="endnote text"/>
    <w:basedOn w:val="Normal"/>
    <w:link w:val="EndnoteTextChar"/>
    <w:semiHidden/>
    <w:unhideWhenUsed/>
    <w:rsid w:val="00EA0538"/>
    <w:pPr>
      <w:spacing w:after="0" w:line="240" w:lineRule="auto"/>
    </w:pPr>
    <w:rPr>
      <w:sz w:val="20"/>
      <w:szCs w:val="20"/>
    </w:rPr>
  </w:style>
  <w:style w:type="character" w:customStyle="1" w:styleId="EndnoteTextChar">
    <w:name w:val="Endnote Text Char"/>
    <w:basedOn w:val="DefaultParagraphFont"/>
    <w:link w:val="EndnoteText"/>
    <w:semiHidden/>
    <w:rsid w:val="00EA0538"/>
    <w:rPr>
      <w:sz w:val="20"/>
      <w:szCs w:val="20"/>
    </w:rPr>
  </w:style>
  <w:style w:type="character" w:styleId="EndnoteReference">
    <w:name w:val="endnote reference"/>
    <w:basedOn w:val="DefaultParagraphFont"/>
    <w:semiHidden/>
    <w:unhideWhenUsed/>
    <w:rsid w:val="00EA0538"/>
    <w:rPr>
      <w:vertAlign w:val="superscript"/>
    </w:rPr>
  </w:style>
  <w:style w:type="paragraph" w:styleId="TOCHeading">
    <w:name w:val="TOC Heading"/>
    <w:basedOn w:val="Heading1"/>
    <w:next w:val="Normal"/>
    <w:uiPriority w:val="39"/>
    <w:semiHidden/>
    <w:unhideWhenUsed/>
    <w:qFormat/>
    <w:rsid w:val="00EA0538"/>
    <w:pPr>
      <w:outlineLvl w:val="9"/>
    </w:pPr>
    <w:rPr>
      <w:lang w:val="en-US" w:eastAsia="ja-JP"/>
    </w:rPr>
  </w:style>
  <w:style w:type="paragraph" w:styleId="TOC2">
    <w:name w:val="toc 2"/>
    <w:basedOn w:val="Normal"/>
    <w:next w:val="Normal"/>
    <w:autoRedefine/>
    <w:uiPriority w:val="39"/>
    <w:unhideWhenUsed/>
    <w:qFormat/>
    <w:rsid w:val="00EA0538"/>
    <w:pPr>
      <w:spacing w:after="100"/>
      <w:ind w:left="220"/>
    </w:pPr>
    <w:rPr>
      <w:lang w:val="en-US" w:eastAsia="ja-JP"/>
    </w:rPr>
  </w:style>
  <w:style w:type="paragraph" w:styleId="TOC1">
    <w:name w:val="toc 1"/>
    <w:basedOn w:val="Normal"/>
    <w:next w:val="Normal"/>
    <w:autoRedefine/>
    <w:uiPriority w:val="39"/>
    <w:unhideWhenUsed/>
    <w:qFormat/>
    <w:rsid w:val="00EA0538"/>
    <w:pPr>
      <w:spacing w:after="100"/>
    </w:pPr>
    <w:rPr>
      <w:lang w:val="en-US" w:eastAsia="ja-JP"/>
    </w:rPr>
  </w:style>
  <w:style w:type="paragraph" w:styleId="TOC3">
    <w:name w:val="toc 3"/>
    <w:basedOn w:val="Normal"/>
    <w:next w:val="Normal"/>
    <w:autoRedefine/>
    <w:uiPriority w:val="39"/>
    <w:unhideWhenUsed/>
    <w:qFormat/>
    <w:rsid w:val="00EA0538"/>
    <w:pPr>
      <w:spacing w:after="100"/>
      <w:ind w:left="440"/>
    </w:pPr>
    <w:rPr>
      <w:lang w:val="en-US" w:eastAsia="ja-JP"/>
    </w:rPr>
  </w:style>
  <w:style w:type="paragraph" w:styleId="Bibliography">
    <w:name w:val="Bibliography"/>
    <w:basedOn w:val="Normal"/>
    <w:next w:val="Normal"/>
    <w:uiPriority w:val="37"/>
    <w:unhideWhenUsed/>
    <w:rsid w:val="00EA0538"/>
  </w:style>
  <w:style w:type="table" w:styleId="TableGrid">
    <w:name w:val="Table Grid"/>
    <w:basedOn w:val="TableNormal"/>
    <w:uiPriority w:val="59"/>
    <w:rsid w:val="00EA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05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05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A05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EA0538"/>
    <w:pPr>
      <w:spacing w:after="0" w:line="240" w:lineRule="auto"/>
    </w:pPr>
  </w:style>
  <w:style w:type="character" w:styleId="FollowedHyperlink">
    <w:name w:val="FollowedHyperlink"/>
    <w:basedOn w:val="DefaultParagraphFont"/>
    <w:uiPriority w:val="99"/>
    <w:semiHidden/>
    <w:unhideWhenUsed/>
    <w:rsid w:val="00EA0538"/>
    <w:rPr>
      <w:color w:val="800080" w:themeColor="followedHyperlink"/>
      <w:u w:val="single"/>
    </w:rPr>
  </w:style>
  <w:style w:type="paragraph" w:customStyle="1" w:styleId="EESubheadingB">
    <w:name w:val="EE Subheading B"/>
    <w:basedOn w:val="Heading3"/>
    <w:next w:val="EEFirstParagraph"/>
    <w:rsid w:val="00EA0538"/>
    <w:pPr>
      <w:keepLines w:val="0"/>
      <w:spacing w:before="240" w:after="240" w:line="240" w:lineRule="exact"/>
    </w:pPr>
    <w:rPr>
      <w:rFonts w:ascii="Times" w:eastAsia="Times New Roman" w:hAnsi="Times" w:cs="Arial"/>
      <w:color w:val="auto"/>
      <w:sz w:val="20"/>
      <w:szCs w:val="26"/>
      <w:lang w:val="en-GB" w:eastAsia="en-US"/>
    </w:rPr>
  </w:style>
  <w:style w:type="paragraph" w:customStyle="1" w:styleId="EEFirstParagraph">
    <w:name w:val="EE FirstParagraph"/>
    <w:basedOn w:val="Normal"/>
    <w:next w:val="EEParagraph"/>
    <w:link w:val="EEFirstParagraphChar"/>
    <w:rsid w:val="00EA0538"/>
    <w:pPr>
      <w:spacing w:after="0" w:line="240" w:lineRule="exact"/>
      <w:jc w:val="both"/>
    </w:pPr>
    <w:rPr>
      <w:rFonts w:ascii="Times" w:eastAsia="Times New Roman" w:hAnsi="Times" w:cs="Times New Roman"/>
      <w:sz w:val="20"/>
      <w:szCs w:val="20"/>
      <w:lang w:val="en-GB" w:eastAsia="en-US"/>
    </w:rPr>
  </w:style>
  <w:style w:type="paragraph" w:customStyle="1" w:styleId="EEParagraph">
    <w:name w:val="EE Paragraph"/>
    <w:basedOn w:val="Normal"/>
    <w:rsid w:val="00EA0538"/>
    <w:pPr>
      <w:spacing w:after="0" w:line="240" w:lineRule="exact"/>
      <w:ind w:firstLine="240"/>
      <w:jc w:val="both"/>
    </w:pPr>
    <w:rPr>
      <w:rFonts w:ascii="Times" w:eastAsia="Times New Roman" w:hAnsi="Times" w:cs="Times New Roman"/>
      <w:sz w:val="20"/>
      <w:szCs w:val="20"/>
      <w:lang w:val="en-GB" w:eastAsia="en-US"/>
    </w:rPr>
  </w:style>
  <w:style w:type="paragraph" w:customStyle="1" w:styleId="EESubheadingA">
    <w:name w:val="EE Subheading A"/>
    <w:basedOn w:val="Heading2"/>
    <w:next w:val="EEFirstParagraph"/>
    <w:rsid w:val="00EA0538"/>
    <w:pPr>
      <w:keepLines w:val="0"/>
      <w:numPr>
        <w:ilvl w:val="1"/>
      </w:numPr>
      <w:tabs>
        <w:tab w:val="num" w:pos="482"/>
      </w:tabs>
      <w:spacing w:before="480" w:after="240" w:line="240" w:lineRule="auto"/>
      <w:ind w:left="482" w:hanging="482"/>
    </w:pPr>
    <w:rPr>
      <w:rFonts w:ascii="Times" w:eastAsia="Times New Roman" w:hAnsi="Times" w:cs="Arial"/>
      <w:b w:val="0"/>
      <w:iCs/>
      <w:caps/>
      <w:color w:val="auto"/>
      <w:sz w:val="24"/>
      <w:szCs w:val="24"/>
      <w:lang w:val="en-GB" w:eastAsia="en-US"/>
    </w:rPr>
  </w:style>
  <w:style w:type="paragraph" w:customStyle="1" w:styleId="MTDisplayEquation">
    <w:name w:val="MTDisplayEquation"/>
    <w:basedOn w:val="EEParagraph"/>
    <w:next w:val="EEFirstParagraph"/>
    <w:rsid w:val="00EA0538"/>
    <w:pPr>
      <w:tabs>
        <w:tab w:val="center" w:pos="3120"/>
        <w:tab w:val="right" w:pos="6240"/>
      </w:tabs>
      <w:spacing w:before="240" w:after="240" w:line="240" w:lineRule="auto"/>
    </w:pPr>
  </w:style>
  <w:style w:type="paragraph" w:customStyle="1" w:styleId="EEEquation">
    <w:name w:val="EE Equation"/>
    <w:basedOn w:val="MTDisplayEquation"/>
    <w:rsid w:val="00EA0538"/>
  </w:style>
  <w:style w:type="character" w:customStyle="1" w:styleId="EEFirstParagraphChar">
    <w:name w:val="EE FirstParagraph Char"/>
    <w:link w:val="EEFirstParagraph"/>
    <w:rsid w:val="00EA0538"/>
    <w:rPr>
      <w:rFonts w:ascii="Times" w:eastAsia="Times New Roman" w:hAnsi="Times" w:cs="Times New Roman"/>
      <w:sz w:val="20"/>
      <w:szCs w:val="20"/>
      <w:lang w:val="en-GB" w:eastAsia="en-US"/>
    </w:rPr>
  </w:style>
  <w:style w:type="character" w:customStyle="1" w:styleId="MTEquationSection">
    <w:name w:val="MTEquationSection"/>
    <w:rsid w:val="00EA0538"/>
    <w:rPr>
      <w:vanish/>
      <w:color w:val="FF0000"/>
    </w:rPr>
  </w:style>
  <w:style w:type="numbering" w:customStyle="1" w:styleId="NoList1">
    <w:name w:val="No List1"/>
    <w:next w:val="NoList"/>
    <w:uiPriority w:val="99"/>
    <w:semiHidden/>
    <w:unhideWhenUsed/>
    <w:rsid w:val="00EA0538"/>
  </w:style>
  <w:style w:type="paragraph" w:customStyle="1" w:styleId="xl70">
    <w:name w:val="xl70"/>
    <w:basedOn w:val="Normal"/>
    <w:rsid w:val="00EA05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EA05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EA05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EA0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A0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EA0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EA053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2">
    <w:name w:val="xl72"/>
    <w:basedOn w:val="Normal"/>
    <w:rsid w:val="00EA05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EA0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EA05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EA053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EA053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EA053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EA053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5">
    <w:name w:val="font5"/>
    <w:basedOn w:val="Normal"/>
    <w:rsid w:val="00EA0538"/>
    <w:pPr>
      <w:spacing w:before="100" w:beforeAutospacing="1" w:after="100" w:afterAutospacing="1" w:line="240" w:lineRule="auto"/>
    </w:pPr>
    <w:rPr>
      <w:rFonts w:ascii="Times New Roman" w:eastAsia="Times New Roman" w:hAnsi="Times New Roman"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dgewest.e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statice.is"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8" Type="http://schemas.openxmlformats.org/officeDocument/2006/relationships/hyperlink" Target="http://www.globalccsinstitute.com/insights/authors/christophershort/2010/11/03/definition-ccs-ready" TargetMode="External"/><Relationship Id="rId13" Type="http://schemas.openxmlformats.org/officeDocument/2006/relationships/hyperlink" Target="http://www.statnett.no/Documents/Prosjekter/NORD.LINK,%20kabel%20til%20Tyskland/Dokumentliste/Konsesjonss&#248;knad/22.10.2010_Samordnet%20konsesjonss&#248;knad%20NorGer%20og%20NORD.LINK%20sendt%20NVE.pdf" TargetMode="External"/><Relationship Id="rId3" Type="http://schemas.openxmlformats.org/officeDocument/2006/relationships/hyperlink" Target="http://wwwvms.vyh.fi/syke/tietoj/hbvmallit/porvoo18/reservoirs/FINNISHRESERVOIRCONTENT19782001.DAT" TargetMode="External"/><Relationship Id="rId7" Type="http://schemas.openxmlformats.org/officeDocument/2006/relationships/hyperlink" Target="http://www.globalccsinstitute.com/understanding-ccs" TargetMode="External"/><Relationship Id="rId12" Type="http://schemas.openxmlformats.org/officeDocument/2006/relationships/hyperlink" Target="http://www.statnett.no/Documents/Prosjekter/Skagerrak%204/Dokumentliste/Melding/Melding_SK4.pdf" TargetMode="External"/><Relationship Id="rId2" Type="http://schemas.openxmlformats.org/officeDocument/2006/relationships/hyperlink" Target="http://eng.gazpromquestions.ru/?id=4" TargetMode="External"/><Relationship Id="rId1" Type="http://schemas.openxmlformats.org/officeDocument/2006/relationships/hyperlink" Target="http://e85bioethanol.com/2010/02/15/210-ft-az-e85/" TargetMode="External"/><Relationship Id="rId6" Type="http://schemas.openxmlformats.org/officeDocument/2006/relationships/hyperlink" Target="http://www.irena.org/menu/index.aspx?mnu=Subcat&amp;PriMenuID=36&amp;CatID=141&amp;SubcatID=283" TargetMode="External"/><Relationship Id="rId11" Type="http://schemas.openxmlformats.org/officeDocument/2006/relationships/hyperlink" Target="https://www.entsoe.eu/data/data-portal/" TargetMode="External"/><Relationship Id="rId5" Type="http://schemas.openxmlformats.org/officeDocument/2006/relationships/hyperlink" Target="http://data.un.org/Data.aspx?d=EDATA&amp;f=cmID%3aEC" TargetMode="External"/><Relationship Id="rId15" Type="http://schemas.openxmlformats.org/officeDocument/2006/relationships/hyperlink" Target="http://www.statnett.no/Documents/Prosjekter/NORD.LINK,%20kabel%20til%20Tyskland/Dokumentliste/Konsesjonss&#248;knad/22.10.2010_Samordnet%20konsesjonss&#248;knad%20NorGer%20og%20NORD.LINK%20sendt%20NVE.pdf" TargetMode="External"/><Relationship Id="rId10" Type="http://schemas.openxmlformats.org/officeDocument/2006/relationships/hyperlink" Target="http://www.energy-regulators.eu/portal/page/portal/EER_HOME/EER_PUBLICATIONS/NATIONAL_REPORTS/National%20Reporting%202010" TargetMode="External"/><Relationship Id="rId4" Type="http://schemas.openxmlformats.org/officeDocument/2006/relationships/hyperlink" Target="http://www.espon.eu/export/sites/default/Documents/Publications/MapsOfTheMonth/MapJanuary2011/PV-Potential.pdf" TargetMode="External"/><Relationship Id="rId9" Type="http://schemas.openxmlformats.org/officeDocument/2006/relationships/hyperlink" Target="http://www.entsog.eu/maps/transmission-capacity-map" TargetMode="External"/><Relationship Id="rId14" Type="http://schemas.openxmlformats.org/officeDocument/2006/relationships/hyperlink" Target="http://www.statnett.no/Documents/Prosjekter/Skagerrak%204/Dokumentliste/Melding/Melding_SK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ECo12</b:Tag>
    <b:SourceType>Report</b:SourceType>
    <b:Guid>{82912EA1-6E46-4759-A1CB-8BE29DECF493}</b:Guid>
    <b:Title>Household Energy Price Index</b:Title>
    <b:Year>2012</b:Year>
    <b:Author>
      <b:Author>
        <b:Corporate>E-Control/VaasaETT</b:Corporate>
      </b:Author>
    </b:Author>
    <b:Publisher>E-Control and VaasaETT Global Energy Think Tank</b:Publisher>
    <b:RefOrder>1</b:RefOrder>
  </b:Source>
</b:Sources>
</file>

<file path=customXml/itemProps1.xml><?xml version="1.0" encoding="utf-8"?>
<ds:datastoreItem xmlns:ds="http://schemas.openxmlformats.org/officeDocument/2006/customXml" ds:itemID="{B61DE50B-5530-4576-844E-6DE86387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13485</Words>
  <Characters>71474</Characters>
  <Application>Microsoft Office Word</Application>
  <DocSecurity>0</DocSecurity>
  <Lines>595</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Kristine Hallre</dc:creator>
  <cp:lastModifiedBy>Hilde Kristine Hallre</cp:lastModifiedBy>
  <cp:revision>2</cp:revision>
  <dcterms:created xsi:type="dcterms:W3CDTF">2014-06-27T13:13:00Z</dcterms:created>
  <dcterms:modified xsi:type="dcterms:W3CDTF">2014-06-27T13:23:00Z</dcterms:modified>
</cp:coreProperties>
</file>